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969A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textAlignment w:val="baseline"/>
        <w:rPr>
          <w:rFonts w:hint="default" w:ascii="黑体" w:hAnsi="黑体" w:eastAsia="黑体" w:cs="黑体"/>
          <w:color w:val="auto"/>
          <w:sz w:val="32"/>
          <w:szCs w:val="32"/>
          <w:lang w:val="en-US" w:eastAsia="zh-CN"/>
        </w:rPr>
      </w:pPr>
      <w:bookmarkStart w:id="0" w:name="_GoBack"/>
      <w:bookmarkEnd w:id="0"/>
      <w:r>
        <w:rPr>
          <w:rFonts w:hint="eastAsia" w:ascii="黑体" w:hAnsi="黑体" w:eastAsia="黑体" w:cs="黑体"/>
          <w:color w:val="auto"/>
          <w:sz w:val="32"/>
          <w:szCs w:val="32"/>
          <w:lang w:val="en-US" w:eastAsia="zh-CN"/>
        </w:rPr>
        <w:t>附件3</w:t>
      </w:r>
    </w:p>
    <w:p w14:paraId="4298D77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textAlignment w:val="baseline"/>
        <w:rPr>
          <w:rFonts w:hint="eastAsia" w:ascii="仿宋" w:hAnsi="仿宋" w:eastAsia="仿宋"/>
          <w:color w:val="auto"/>
          <w:sz w:val="32"/>
          <w:szCs w:val="32"/>
          <w:lang w:val="en-US" w:eastAsia="zh-CN"/>
        </w:rPr>
      </w:pPr>
    </w:p>
    <w:p w14:paraId="78EA8036">
      <w:pPr>
        <w:keepNext w:val="0"/>
        <w:keepLines w:val="0"/>
        <w:pageBreakBefore w:val="0"/>
        <w:widowControl/>
        <w:kinsoku/>
        <w:wordWrap/>
        <w:overflowPunct/>
        <w:topLinePunct w:val="0"/>
        <w:autoSpaceDE/>
        <w:autoSpaceDN/>
        <w:bidi w:val="0"/>
        <w:adjustRightInd w:val="0"/>
        <w:snapToGrid/>
        <w:spacing w:line="560" w:lineRule="exact"/>
        <w:jc w:val="center"/>
        <w:textAlignment w:val="auto"/>
        <w:rPr>
          <w:rFonts w:hint="default" w:ascii="小标宋" w:eastAsia="小标宋"/>
          <w:color w:val="auto"/>
          <w:sz w:val="44"/>
          <w:szCs w:val="44"/>
          <w:highlight w:val="none"/>
          <w:lang w:val="en-US" w:eastAsia="zh-CN"/>
        </w:rPr>
      </w:pPr>
      <w:r>
        <w:rPr>
          <w:rFonts w:hint="eastAsia" w:ascii="小标宋" w:eastAsia="小标宋"/>
          <w:color w:val="auto"/>
          <w:sz w:val="44"/>
          <w:szCs w:val="44"/>
          <w:highlight w:val="none"/>
          <w:lang w:val="en-US" w:eastAsia="zh-CN"/>
        </w:rPr>
        <w:t>西药/中成药</w:t>
      </w:r>
      <w:r>
        <w:rPr>
          <w:rFonts w:hint="default" w:ascii="小标宋" w:eastAsia="小标宋"/>
          <w:color w:val="auto"/>
          <w:sz w:val="44"/>
          <w:szCs w:val="44"/>
          <w:highlight w:val="none"/>
          <w:lang w:val="en-US" w:eastAsia="zh-CN"/>
        </w:rPr>
        <w:t>药品配送企业遴选评分表</w:t>
      </w:r>
    </w:p>
    <w:p w14:paraId="54514B86">
      <w:pPr>
        <w:keepNext w:val="0"/>
        <w:keepLines w:val="0"/>
        <w:pageBreakBefore w:val="0"/>
        <w:widowControl/>
        <w:kinsoku/>
        <w:wordWrap/>
        <w:overflowPunct/>
        <w:topLinePunct w:val="0"/>
        <w:autoSpaceDE/>
        <w:autoSpaceDN/>
        <w:bidi w:val="0"/>
        <w:adjustRightInd w:val="0"/>
        <w:snapToGrid/>
        <w:spacing w:line="560" w:lineRule="exact"/>
        <w:jc w:val="center"/>
        <w:textAlignment w:val="auto"/>
        <w:rPr>
          <w:rFonts w:hint="default" w:ascii="小标宋" w:eastAsia="小标宋"/>
          <w:color w:val="auto"/>
          <w:sz w:val="44"/>
          <w:szCs w:val="44"/>
          <w:highlight w:val="none"/>
          <w:lang w:val="en-US" w:eastAsia="zh-CN"/>
        </w:rPr>
      </w:pPr>
    </w:p>
    <w:tbl>
      <w:tblPr>
        <w:tblStyle w:val="4"/>
        <w:tblW w:w="101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51" w:type="dxa"/>
          <w:bottom w:w="0" w:type="dxa"/>
          <w:right w:w="51" w:type="dxa"/>
        </w:tblCellMar>
      </w:tblPr>
      <w:tblGrid>
        <w:gridCol w:w="959"/>
        <w:gridCol w:w="1139"/>
        <w:gridCol w:w="4238"/>
        <w:gridCol w:w="360"/>
        <w:gridCol w:w="675"/>
        <w:gridCol w:w="2805"/>
      </w:tblGrid>
      <w:tr w14:paraId="53756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951" w:hRule="atLeast"/>
          <w:jc w:val="center"/>
        </w:trPr>
        <w:tc>
          <w:tcPr>
            <w:tcW w:w="959" w:type="dxa"/>
            <w:tcBorders>
              <w:top w:val="single" w:color="000000" w:sz="4" w:space="0"/>
              <w:left w:val="single" w:color="000000" w:sz="4" w:space="0"/>
              <w:bottom w:val="single" w:color="000000" w:sz="4" w:space="0"/>
              <w:right w:val="single" w:color="000000" w:sz="4" w:space="0"/>
            </w:tcBorders>
            <w:noWrap w:val="0"/>
            <w:vAlign w:val="center"/>
          </w:tcPr>
          <w:p w14:paraId="63A641A6">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default" w:ascii="宋体" w:hAnsi="宋体" w:eastAsia="宋体" w:cs="宋体"/>
                <w:b/>
                <w:bCs/>
                <w:i w:val="0"/>
                <w:iCs w:val="0"/>
                <w:color w:val="000000"/>
                <w:kern w:val="2"/>
                <w:sz w:val="21"/>
                <w:szCs w:val="21"/>
                <w:u w:val="none"/>
              </w:rPr>
            </w:pPr>
            <w:r>
              <w:rPr>
                <w:rFonts w:hint="default" w:ascii="宋体" w:hAnsi="宋体" w:eastAsia="宋体" w:cs="宋体"/>
                <w:b/>
                <w:bCs/>
                <w:i w:val="0"/>
                <w:iCs w:val="0"/>
                <w:color w:val="000000"/>
                <w:kern w:val="0"/>
                <w:sz w:val="21"/>
                <w:szCs w:val="21"/>
                <w:u w:val="none"/>
                <w:lang w:val="en-US" w:eastAsia="zh-CN" w:bidi="ar"/>
              </w:rPr>
              <w:t>一级指标</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0B7A74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宋体" w:hAnsi="宋体" w:eastAsia="宋体" w:cs="宋体"/>
                <w:b/>
                <w:bCs/>
                <w:i w:val="0"/>
                <w:iCs w:val="0"/>
                <w:color w:val="000000"/>
                <w:kern w:val="2"/>
                <w:sz w:val="21"/>
                <w:szCs w:val="21"/>
                <w:u w:val="none"/>
              </w:rPr>
            </w:pPr>
            <w:r>
              <w:rPr>
                <w:rFonts w:hint="default" w:ascii="宋体" w:hAnsi="宋体" w:eastAsia="宋体" w:cs="宋体"/>
                <w:b/>
                <w:bCs/>
                <w:i w:val="0"/>
                <w:iCs w:val="0"/>
                <w:color w:val="000000"/>
                <w:kern w:val="0"/>
                <w:sz w:val="21"/>
                <w:szCs w:val="21"/>
                <w:u w:val="none"/>
                <w:lang w:val="en-US" w:eastAsia="zh-CN" w:bidi="ar"/>
              </w:rPr>
              <w:t>二级指标</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7DB8D6F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宋体" w:hAnsi="宋体" w:eastAsia="宋体" w:cs="宋体"/>
                <w:b/>
                <w:bCs/>
                <w:i w:val="0"/>
                <w:iCs w:val="0"/>
                <w:color w:val="000000"/>
                <w:kern w:val="2"/>
                <w:sz w:val="21"/>
                <w:szCs w:val="21"/>
                <w:u w:val="none"/>
              </w:rPr>
            </w:pPr>
            <w:r>
              <w:rPr>
                <w:rFonts w:hint="default" w:ascii="宋体" w:hAnsi="宋体" w:eastAsia="宋体" w:cs="宋体"/>
                <w:b/>
                <w:bCs/>
                <w:i w:val="0"/>
                <w:iCs w:val="0"/>
                <w:color w:val="000000"/>
                <w:kern w:val="0"/>
                <w:sz w:val="21"/>
                <w:szCs w:val="21"/>
                <w:u w:val="none"/>
                <w:lang w:val="en-US" w:eastAsia="zh-CN" w:bidi="ar"/>
              </w:rPr>
              <w:t>评价细则</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4A512C3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宋体" w:hAnsi="宋体" w:eastAsia="宋体" w:cs="宋体"/>
                <w:b/>
                <w:bCs/>
                <w:i w:val="0"/>
                <w:iCs w:val="0"/>
                <w:color w:val="000000"/>
                <w:kern w:val="0"/>
                <w:sz w:val="21"/>
                <w:szCs w:val="21"/>
                <w:u w:val="none"/>
                <w:lang w:val="en-US" w:eastAsia="zh-CN" w:bidi="ar"/>
              </w:rPr>
            </w:pPr>
            <w:r>
              <w:rPr>
                <w:rFonts w:hint="default" w:ascii="宋体" w:hAnsi="宋体" w:eastAsia="宋体" w:cs="宋体"/>
                <w:b/>
                <w:bCs/>
                <w:i w:val="0"/>
                <w:iCs w:val="0"/>
                <w:color w:val="000000"/>
                <w:kern w:val="0"/>
                <w:sz w:val="21"/>
                <w:szCs w:val="21"/>
                <w:u w:val="none"/>
                <w:lang w:val="en-US" w:eastAsia="zh-CN" w:bidi="ar"/>
              </w:rPr>
              <w:t>分</w:t>
            </w:r>
          </w:p>
          <w:p w14:paraId="13FFED0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宋体" w:hAnsi="宋体" w:eastAsia="宋体" w:cs="宋体"/>
                <w:b/>
                <w:bCs/>
                <w:i w:val="0"/>
                <w:iCs w:val="0"/>
                <w:color w:val="000000"/>
                <w:kern w:val="2"/>
                <w:sz w:val="21"/>
                <w:szCs w:val="21"/>
                <w:u w:val="none"/>
              </w:rPr>
            </w:pPr>
            <w:r>
              <w:rPr>
                <w:rFonts w:hint="default" w:ascii="宋体" w:hAnsi="宋体" w:eastAsia="宋体" w:cs="宋体"/>
                <w:b/>
                <w:bCs/>
                <w:i w:val="0"/>
                <w:iCs w:val="0"/>
                <w:color w:val="000000"/>
                <w:kern w:val="0"/>
                <w:sz w:val="21"/>
                <w:szCs w:val="21"/>
                <w:u w:val="none"/>
                <w:lang w:val="en-US" w:eastAsia="zh-CN" w:bidi="ar"/>
              </w:rPr>
              <w:t>值</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670487E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宋体" w:hAnsi="宋体" w:eastAsia="宋体" w:cs="宋体"/>
                <w:b/>
                <w:bCs/>
                <w:i w:val="0"/>
                <w:iCs w:val="0"/>
                <w:color w:val="000000"/>
                <w:kern w:val="0"/>
                <w:sz w:val="21"/>
                <w:szCs w:val="21"/>
                <w:u w:val="none"/>
                <w:lang w:val="en-US" w:eastAsia="zh-CN" w:bidi="ar"/>
              </w:rPr>
            </w:pPr>
            <w:r>
              <w:rPr>
                <w:rFonts w:hint="default" w:ascii="宋体" w:hAnsi="宋体" w:eastAsia="宋体" w:cs="宋体"/>
                <w:b/>
                <w:bCs/>
                <w:i w:val="0"/>
                <w:iCs w:val="0"/>
                <w:color w:val="000000"/>
                <w:kern w:val="0"/>
                <w:sz w:val="21"/>
                <w:szCs w:val="21"/>
                <w:u w:val="none"/>
                <w:lang w:val="en-US" w:eastAsia="zh-CN" w:bidi="ar"/>
              </w:rPr>
              <w:t>评</w:t>
            </w:r>
          </w:p>
          <w:p w14:paraId="3B6CD82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宋体" w:hAnsi="宋体" w:eastAsia="宋体" w:cs="宋体"/>
                <w:b/>
                <w:bCs/>
                <w:i w:val="0"/>
                <w:iCs w:val="0"/>
                <w:color w:val="000000"/>
                <w:kern w:val="2"/>
                <w:sz w:val="21"/>
                <w:szCs w:val="21"/>
                <w:u w:val="none"/>
              </w:rPr>
            </w:pPr>
            <w:r>
              <w:rPr>
                <w:rFonts w:hint="default" w:ascii="宋体" w:hAnsi="宋体" w:eastAsia="宋体" w:cs="宋体"/>
                <w:b/>
                <w:bCs/>
                <w:i w:val="0"/>
                <w:iCs w:val="0"/>
                <w:color w:val="000000"/>
                <w:kern w:val="0"/>
                <w:sz w:val="21"/>
                <w:szCs w:val="21"/>
                <w:u w:val="none"/>
                <w:lang w:val="en-US" w:eastAsia="zh-CN" w:bidi="ar"/>
              </w:rPr>
              <w:t>分</w:t>
            </w: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661917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宋体" w:hAnsi="宋体" w:eastAsia="宋体" w:cs="宋体"/>
                <w:b/>
                <w:bCs/>
                <w:i w:val="0"/>
                <w:iCs w:val="0"/>
                <w:color w:val="000000"/>
                <w:kern w:val="0"/>
                <w:sz w:val="21"/>
                <w:szCs w:val="21"/>
                <w:u w:val="none"/>
                <w:lang w:val="en-US" w:eastAsia="zh-CN" w:bidi="ar"/>
              </w:rPr>
            </w:pPr>
            <w:r>
              <w:rPr>
                <w:rFonts w:hint="default" w:ascii="宋体" w:hAnsi="宋体" w:eastAsia="宋体" w:cs="宋体"/>
                <w:b/>
                <w:bCs/>
                <w:i w:val="0"/>
                <w:iCs w:val="0"/>
                <w:color w:val="000000"/>
                <w:kern w:val="0"/>
                <w:sz w:val="21"/>
                <w:szCs w:val="21"/>
                <w:u w:val="none"/>
                <w:lang w:val="en-US" w:eastAsia="zh-CN" w:bidi="ar"/>
              </w:rPr>
              <w:t>证明材料</w:t>
            </w:r>
          </w:p>
          <w:p w14:paraId="281A685D">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default" w:ascii="宋体" w:hAnsi="宋体" w:eastAsia="宋体" w:cs="宋体"/>
                <w:b/>
                <w:bCs/>
                <w:i w:val="0"/>
                <w:iCs w:val="0"/>
                <w:color w:val="000000"/>
                <w:kern w:val="2"/>
                <w:sz w:val="21"/>
                <w:szCs w:val="21"/>
                <w:u w:val="none"/>
              </w:rPr>
            </w:pPr>
            <w:r>
              <w:rPr>
                <w:rFonts w:hint="default" w:ascii="宋体" w:hAnsi="宋体" w:eastAsia="宋体" w:cs="宋体"/>
                <w:b/>
                <w:bCs/>
                <w:i w:val="0"/>
                <w:iCs w:val="0"/>
                <w:color w:val="000000"/>
                <w:kern w:val="0"/>
                <w:sz w:val="21"/>
                <w:szCs w:val="21"/>
                <w:u w:val="none"/>
                <w:lang w:val="en-US" w:eastAsia="zh-CN" w:bidi="ar"/>
              </w:rPr>
              <w:t>（复印件加盖公章并按评分项顺序装订，原件备查）</w:t>
            </w:r>
          </w:p>
        </w:tc>
      </w:tr>
      <w:tr w14:paraId="42E04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779" w:hRule="atLeast"/>
          <w:jc w:val="center"/>
        </w:trPr>
        <w:tc>
          <w:tcPr>
            <w:tcW w:w="959" w:type="dxa"/>
            <w:vMerge w:val="restart"/>
            <w:tcBorders>
              <w:top w:val="single" w:color="000000" w:sz="4" w:space="0"/>
              <w:left w:val="single" w:color="000000" w:sz="4" w:space="0"/>
              <w:bottom w:val="single" w:color="000000" w:sz="4" w:space="0"/>
              <w:right w:val="single" w:color="000000" w:sz="4" w:space="0"/>
            </w:tcBorders>
            <w:noWrap w:val="0"/>
            <w:vAlign w:val="center"/>
          </w:tcPr>
          <w:p w14:paraId="4B12CC2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b/>
                <w:bCs/>
                <w:i w:val="0"/>
                <w:iCs w:val="0"/>
                <w:color w:val="000000"/>
                <w:kern w:val="2"/>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1.</w:t>
            </w:r>
            <w:r>
              <w:rPr>
                <w:rStyle w:val="10"/>
                <w:rFonts w:hint="default"/>
                <w:kern w:val="2"/>
                <w:sz w:val="21"/>
                <w:szCs w:val="21"/>
                <w:lang w:val="en-US" w:eastAsia="zh-CN" w:bidi="ar"/>
              </w:rPr>
              <w:t>供货能力（</w:t>
            </w:r>
            <w:r>
              <w:rPr>
                <w:rFonts w:hint="default" w:ascii="Times New Roman" w:hAnsi="Times New Roman" w:eastAsia="宋体" w:cs="Times New Roman"/>
                <w:b/>
                <w:bCs/>
                <w:i w:val="0"/>
                <w:iCs w:val="0"/>
                <w:color w:val="000000"/>
                <w:kern w:val="0"/>
                <w:sz w:val="21"/>
                <w:szCs w:val="21"/>
                <w:u w:val="none"/>
                <w:lang w:val="en-US" w:eastAsia="zh-CN" w:bidi="ar"/>
              </w:rPr>
              <w:t>25</w:t>
            </w:r>
            <w:r>
              <w:rPr>
                <w:rStyle w:val="10"/>
                <w:rFonts w:hint="default"/>
                <w:kern w:val="2"/>
                <w:sz w:val="21"/>
                <w:szCs w:val="21"/>
                <w:lang w:val="en-US" w:eastAsia="zh-CN" w:bidi="ar"/>
              </w:rPr>
              <w:t>分）</w:t>
            </w: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14:paraId="0CE3F82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1.1 </w:t>
            </w:r>
            <w:r>
              <w:rPr>
                <w:rStyle w:val="11"/>
                <w:rFonts w:hint="default"/>
                <w:kern w:val="2"/>
                <w:sz w:val="21"/>
                <w:szCs w:val="21"/>
                <w:lang w:val="en-US" w:eastAsia="zh-CN" w:bidi="ar"/>
              </w:rPr>
              <w:t>可配送药品品规数（</w:t>
            </w:r>
            <w:r>
              <w:rPr>
                <w:rFonts w:hint="default" w:ascii="Times New Roman" w:hAnsi="Times New Roman" w:eastAsia="宋体" w:cs="Times New Roman"/>
                <w:i w:val="0"/>
                <w:iCs w:val="0"/>
                <w:color w:val="000000"/>
                <w:kern w:val="0"/>
                <w:sz w:val="21"/>
                <w:szCs w:val="21"/>
                <w:u w:val="none"/>
                <w:lang w:val="en-US" w:eastAsia="zh-CN" w:bidi="ar"/>
              </w:rPr>
              <w:t>10</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3B45970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Style w:val="11"/>
                <w:rFonts w:hint="default"/>
                <w:kern w:val="2"/>
                <w:sz w:val="21"/>
                <w:szCs w:val="21"/>
                <w:lang w:val="en-US" w:eastAsia="zh-CN" w:bidi="ar"/>
              </w:rPr>
              <w:t>＜医疗机构在用药品品规数量×</w:t>
            </w:r>
            <w:r>
              <w:rPr>
                <w:rFonts w:hint="default" w:ascii="Times New Roman" w:hAnsi="Times New Roman" w:eastAsia="宋体" w:cs="Times New Roman"/>
                <w:i w:val="0"/>
                <w:iCs w:val="0"/>
                <w:color w:val="000000"/>
                <w:kern w:val="0"/>
                <w:sz w:val="21"/>
                <w:szCs w:val="21"/>
                <w:u w:val="none"/>
                <w:lang w:val="en-US" w:eastAsia="zh-CN" w:bidi="ar"/>
              </w:rPr>
              <w:t>40%</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79A1FC3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675" w:type="dxa"/>
            <w:vMerge w:val="restart"/>
            <w:tcBorders>
              <w:top w:val="single" w:color="000000" w:sz="4" w:space="0"/>
              <w:left w:val="single" w:color="000000" w:sz="4" w:space="0"/>
              <w:bottom w:val="single" w:color="000000" w:sz="4" w:space="0"/>
              <w:right w:val="single" w:color="000000" w:sz="4" w:space="0"/>
            </w:tcBorders>
            <w:noWrap w:val="0"/>
            <w:vAlign w:val="top"/>
          </w:tcPr>
          <w:p w14:paraId="086C165C">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restart"/>
            <w:tcBorders>
              <w:top w:val="single" w:color="000000" w:sz="4" w:space="0"/>
              <w:left w:val="single" w:color="000000" w:sz="4" w:space="0"/>
              <w:bottom w:val="single" w:color="000000" w:sz="4" w:space="0"/>
              <w:right w:val="single" w:color="000000" w:sz="4" w:space="0"/>
            </w:tcBorders>
            <w:noWrap w:val="0"/>
            <w:vAlign w:val="center"/>
          </w:tcPr>
          <w:p w14:paraId="1789B4D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Style w:val="11"/>
                <w:rFonts w:hint="default"/>
                <w:kern w:val="2"/>
                <w:sz w:val="21"/>
                <w:szCs w:val="21"/>
                <w:lang w:val="en-US" w:eastAsia="zh-CN" w:bidi="ar"/>
              </w:rPr>
            </w:pP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）以</w:t>
            </w:r>
            <w:r>
              <w:rPr>
                <w:rStyle w:val="11"/>
                <w:rFonts w:hint="eastAsia"/>
                <w:kern w:val="2"/>
                <w:sz w:val="21"/>
                <w:szCs w:val="21"/>
                <w:lang w:val="en-US" w:eastAsia="zh-CN" w:bidi="ar"/>
              </w:rPr>
              <w:t>医共体</w:t>
            </w:r>
            <w:r>
              <w:rPr>
                <w:rStyle w:val="11"/>
                <w:rFonts w:hint="default"/>
                <w:kern w:val="2"/>
                <w:sz w:val="21"/>
                <w:szCs w:val="21"/>
                <w:lang w:val="en-US" w:eastAsia="zh-CN" w:bidi="ar"/>
              </w:rPr>
              <w:t>基本用药的品种数量为依据，按不同占比进行阶梯打分；</w:t>
            </w:r>
          </w:p>
          <w:p w14:paraId="40F4579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spacing w:val="0"/>
                <w:kern w:val="2"/>
                <w:sz w:val="21"/>
                <w:szCs w:val="21"/>
                <w:lang w:val="en-US" w:eastAsia="zh-CN" w:bidi="ar"/>
              </w:rPr>
              <w:t>（</w:t>
            </w:r>
            <w:r>
              <w:rPr>
                <w:rFonts w:hint="default" w:ascii="Times New Roman" w:hAnsi="Times New Roman" w:eastAsia="宋体" w:cs="Times New Roman"/>
                <w:i w:val="0"/>
                <w:iCs w:val="0"/>
                <w:color w:val="000000"/>
                <w:spacing w:val="0"/>
                <w:kern w:val="0"/>
                <w:sz w:val="21"/>
                <w:szCs w:val="21"/>
                <w:u w:val="none"/>
                <w:lang w:val="en-US" w:eastAsia="zh-CN" w:bidi="ar"/>
              </w:rPr>
              <w:t>2</w:t>
            </w:r>
            <w:r>
              <w:rPr>
                <w:rStyle w:val="11"/>
                <w:rFonts w:hint="default"/>
                <w:spacing w:val="0"/>
                <w:kern w:val="2"/>
                <w:sz w:val="21"/>
                <w:szCs w:val="21"/>
                <w:lang w:val="en-US" w:eastAsia="zh-CN" w:bidi="ar"/>
              </w:rPr>
              <w:t>）提供企业在广西药品和医用耗材招采管理系统“药品交易”模块可配送药品品</w:t>
            </w:r>
            <w:r>
              <w:rPr>
                <w:rStyle w:val="11"/>
                <w:rFonts w:hint="default"/>
                <w:spacing w:val="-6"/>
                <w:kern w:val="2"/>
                <w:sz w:val="21"/>
                <w:szCs w:val="21"/>
                <w:lang w:val="en-US" w:eastAsia="zh-CN" w:bidi="ar"/>
              </w:rPr>
              <w:t>种、规格的数量作为证明材料。</w:t>
            </w:r>
          </w:p>
        </w:tc>
      </w:tr>
      <w:tr w14:paraId="54DF6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6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08DF19">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0F6334">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0C15ED6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医疗机构在用药品品规数量×</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40%</w:t>
            </w: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60%</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546474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top"/>
          </w:tcPr>
          <w:p w14:paraId="3F4414E2">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B9AFAD">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0C274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6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F6C4DF">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0A82F8">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1442C90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医疗机构在用药品品规数量×</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60%</w:t>
            </w: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80%</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EA6A89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top"/>
          </w:tcPr>
          <w:p w14:paraId="3CB673BD">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45E7E2">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1CB9C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6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2B2621">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6B3074">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79ED039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医疗机构在用药品品规数量×</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80%</w:t>
            </w: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100%</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311BFFF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top"/>
          </w:tcPr>
          <w:p w14:paraId="3B4BB75E">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4D3FD4">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19FBA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834"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7D9FB6">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348DB1">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2264FA1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Style w:val="11"/>
                <w:rFonts w:hint="default"/>
                <w:kern w:val="2"/>
                <w:sz w:val="21"/>
                <w:szCs w:val="21"/>
                <w:lang w:val="en-US" w:eastAsia="zh-CN" w:bidi="ar"/>
              </w:rPr>
              <w:t>≥医疗机构在用药品品规数量×</w:t>
            </w:r>
            <w:r>
              <w:rPr>
                <w:rFonts w:hint="default" w:ascii="Times New Roman" w:hAnsi="Times New Roman" w:eastAsia="宋体" w:cs="Times New Roman"/>
                <w:i w:val="0"/>
                <w:iCs w:val="0"/>
                <w:color w:val="000000"/>
                <w:kern w:val="0"/>
                <w:sz w:val="21"/>
                <w:szCs w:val="21"/>
                <w:u w:val="none"/>
                <w:lang w:val="en-US" w:eastAsia="zh-CN" w:bidi="ar"/>
              </w:rPr>
              <w:t>100%</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541984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top"/>
          </w:tcPr>
          <w:p w14:paraId="422B2242">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EE8871">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2FBAE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759"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2D6804">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14:paraId="24C3B44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Style w:val="11"/>
                <w:rFonts w:hint="default"/>
                <w:kern w:val="2"/>
                <w:sz w:val="21"/>
                <w:szCs w:val="21"/>
                <w:lang w:val="en-US" w:eastAsia="zh-CN" w:bidi="ar"/>
              </w:rPr>
            </w:pPr>
            <w:r>
              <w:rPr>
                <w:rStyle w:val="12"/>
                <w:rFonts w:eastAsia="宋体"/>
                <w:kern w:val="2"/>
                <w:sz w:val="18"/>
                <w:szCs w:val="18"/>
                <w:lang w:val="en-US" w:eastAsia="zh-CN" w:bidi="ar"/>
              </w:rPr>
              <w:t xml:space="preserve">1.2 </w:t>
            </w:r>
            <w:r>
              <w:rPr>
                <w:rStyle w:val="13"/>
                <w:rFonts w:hint="default"/>
                <w:kern w:val="2"/>
                <w:sz w:val="18"/>
                <w:szCs w:val="18"/>
                <w:lang w:val="en-US" w:eastAsia="zh-CN" w:bidi="ar"/>
              </w:rPr>
              <w:t>基药品种</w:t>
            </w:r>
            <w:r>
              <w:rPr>
                <w:rStyle w:val="11"/>
                <w:rFonts w:hint="default"/>
                <w:kern w:val="2"/>
                <w:sz w:val="21"/>
                <w:szCs w:val="21"/>
                <w:lang w:val="en-US" w:eastAsia="zh-CN" w:bidi="ar"/>
              </w:rPr>
              <w:t>覆盖程度</w:t>
            </w:r>
          </w:p>
          <w:p w14:paraId="6A05B1A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Arial" w:hAnsi="Arial" w:eastAsia="宋体" w:cs="Arial"/>
                <w:i w:val="0"/>
                <w:iCs w:val="0"/>
                <w:color w:val="000000"/>
                <w:kern w:val="2"/>
                <w:sz w:val="18"/>
                <w:szCs w:val="18"/>
                <w:u w:val="none"/>
              </w:rPr>
            </w:pP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5</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52F0B6C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Style w:val="11"/>
                <w:rFonts w:hint="default"/>
                <w:kern w:val="2"/>
                <w:sz w:val="21"/>
                <w:szCs w:val="21"/>
                <w:lang w:val="en-US" w:eastAsia="zh-CN" w:bidi="ar"/>
              </w:rPr>
              <w:t>＜覆盖基药品规数×</w:t>
            </w:r>
            <w:r>
              <w:rPr>
                <w:rFonts w:hint="default" w:ascii="Times New Roman" w:hAnsi="Times New Roman" w:eastAsia="宋体" w:cs="Times New Roman"/>
                <w:i w:val="0"/>
                <w:iCs w:val="0"/>
                <w:color w:val="000000"/>
                <w:kern w:val="0"/>
                <w:sz w:val="21"/>
                <w:szCs w:val="21"/>
                <w:u w:val="none"/>
                <w:lang w:val="en-US" w:eastAsia="zh-CN" w:bidi="ar"/>
              </w:rPr>
              <w:t>40%</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05B6C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675" w:type="dxa"/>
            <w:vMerge w:val="restart"/>
            <w:tcBorders>
              <w:top w:val="single" w:color="000000" w:sz="4" w:space="0"/>
              <w:left w:val="single" w:color="000000" w:sz="4" w:space="0"/>
              <w:bottom w:val="single" w:color="000000" w:sz="4" w:space="0"/>
              <w:right w:val="single" w:color="000000" w:sz="4" w:space="0"/>
            </w:tcBorders>
            <w:noWrap w:val="0"/>
            <w:vAlign w:val="top"/>
          </w:tcPr>
          <w:p w14:paraId="723FD303">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restart"/>
            <w:tcBorders>
              <w:top w:val="single" w:color="000000" w:sz="4" w:space="0"/>
              <w:left w:val="single" w:color="000000" w:sz="4" w:space="0"/>
              <w:bottom w:val="single" w:color="000000" w:sz="4" w:space="0"/>
              <w:right w:val="single" w:color="000000" w:sz="4" w:space="0"/>
            </w:tcBorders>
            <w:noWrap w:val="0"/>
            <w:vAlign w:val="center"/>
          </w:tcPr>
          <w:p w14:paraId="49ED319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提供企业供应品种目录与《国家基本药物目录（</w:t>
            </w:r>
            <w:r>
              <w:rPr>
                <w:rFonts w:hint="default" w:ascii="Times New Roman" w:hAnsi="Times New Roman" w:eastAsia="宋体" w:cs="Times New Roman"/>
                <w:i w:val="0"/>
                <w:iCs w:val="0"/>
                <w:color w:val="000000"/>
                <w:kern w:val="0"/>
                <w:sz w:val="21"/>
                <w:szCs w:val="21"/>
                <w:u w:val="none"/>
                <w:lang w:val="en-US" w:eastAsia="zh-CN" w:bidi="ar"/>
              </w:rPr>
              <w:t>2018</w:t>
            </w:r>
            <w:r>
              <w:rPr>
                <w:rStyle w:val="11"/>
                <w:rFonts w:hint="default"/>
                <w:kern w:val="2"/>
                <w:sz w:val="21"/>
                <w:szCs w:val="21"/>
                <w:lang w:val="en-US" w:eastAsia="zh-CN" w:bidi="ar"/>
              </w:rPr>
              <w:t>版）》载入品种（除中药饮片）的匹配对比</w:t>
            </w:r>
            <w:r>
              <w:rPr>
                <w:rFonts w:hint="default" w:ascii="Times New Roman" w:hAnsi="Times New Roman" w:eastAsia="宋体" w:cs="Times New Roman"/>
                <w:i w:val="0"/>
                <w:iCs w:val="0"/>
                <w:color w:val="000000"/>
                <w:kern w:val="0"/>
                <w:sz w:val="21"/>
                <w:szCs w:val="21"/>
                <w:u w:val="none"/>
                <w:lang w:val="en-US" w:eastAsia="zh-CN" w:bidi="ar"/>
              </w:rPr>
              <w:t>Excel</w:t>
            </w:r>
            <w:r>
              <w:rPr>
                <w:rStyle w:val="11"/>
                <w:rFonts w:hint="default"/>
                <w:kern w:val="2"/>
                <w:sz w:val="21"/>
                <w:szCs w:val="21"/>
                <w:lang w:val="en-US" w:eastAsia="zh-CN" w:bidi="ar"/>
              </w:rPr>
              <w:t>表</w:t>
            </w:r>
            <w:r>
              <w:rPr>
                <w:rStyle w:val="11"/>
                <w:rFonts w:hint="eastAsia"/>
                <w:kern w:val="2"/>
                <w:sz w:val="21"/>
                <w:szCs w:val="21"/>
                <w:lang w:val="en-US" w:eastAsia="zh-CN" w:bidi="ar"/>
              </w:rPr>
              <w:t>，加</w:t>
            </w:r>
            <w:r>
              <w:rPr>
                <w:rStyle w:val="11"/>
                <w:rFonts w:hint="default"/>
                <w:kern w:val="2"/>
                <w:sz w:val="21"/>
                <w:szCs w:val="21"/>
                <w:lang w:val="en-US" w:eastAsia="zh-CN" w:bidi="ar"/>
              </w:rPr>
              <w:t>盖企业公章</w:t>
            </w:r>
            <w:r>
              <w:rPr>
                <w:rStyle w:val="11"/>
                <w:rFonts w:hint="eastAsia"/>
                <w:kern w:val="2"/>
                <w:sz w:val="21"/>
                <w:szCs w:val="21"/>
                <w:lang w:val="en-US" w:eastAsia="zh-CN" w:bidi="ar"/>
              </w:rPr>
              <w:t>。</w:t>
            </w:r>
          </w:p>
        </w:tc>
      </w:tr>
      <w:tr w14:paraId="0A32C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09"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935921">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6EBC9F">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18"/>
                <w:szCs w:val="18"/>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7F38425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Style w:val="11"/>
                <w:rFonts w:hint="default"/>
                <w:kern w:val="2"/>
                <w:sz w:val="21"/>
                <w:szCs w:val="21"/>
                <w:lang w:val="en-US" w:eastAsia="zh-CN" w:bidi="ar"/>
              </w:rPr>
              <w:t>覆盖基药品规数×</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40%</w:t>
            </w: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60%</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55EDB14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top"/>
          </w:tcPr>
          <w:p w14:paraId="49F2AA7C">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41B51B">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52E68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14"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0A5A2C">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F31A17">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18"/>
                <w:szCs w:val="18"/>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4EEAA0E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Style w:val="11"/>
                <w:rFonts w:hint="default"/>
                <w:kern w:val="2"/>
                <w:sz w:val="21"/>
                <w:szCs w:val="21"/>
                <w:lang w:val="en-US" w:eastAsia="zh-CN" w:bidi="ar"/>
              </w:rPr>
              <w:t>覆盖基药品规数×</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60%</w:t>
            </w: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80%</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345FF1F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top"/>
          </w:tcPr>
          <w:p w14:paraId="6D39107C">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4B1E8F">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46242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54"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47590D">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98ADE6">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18"/>
                <w:szCs w:val="18"/>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1A7AD5F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Style w:val="11"/>
                <w:rFonts w:hint="default"/>
                <w:kern w:val="2"/>
                <w:sz w:val="21"/>
                <w:szCs w:val="21"/>
                <w:lang w:val="en-US" w:eastAsia="zh-CN" w:bidi="ar"/>
              </w:rPr>
              <w:t>覆盖基药品规数×</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80%</w:t>
            </w: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100%</w:t>
            </w:r>
            <w:r>
              <w:rPr>
                <w:rFonts w:hint="eastAsia"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04B8A47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top"/>
          </w:tcPr>
          <w:p w14:paraId="61B36082">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791AC1">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35EE3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99"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078E9B">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37139F">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18"/>
                <w:szCs w:val="18"/>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5A60680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≥覆盖基药品规数×</w:t>
            </w:r>
            <w:r>
              <w:rPr>
                <w:rFonts w:hint="default" w:ascii="Times New Roman" w:hAnsi="Times New Roman" w:eastAsia="宋体" w:cs="Times New Roman"/>
                <w:i w:val="0"/>
                <w:iCs w:val="0"/>
                <w:color w:val="000000"/>
                <w:kern w:val="0"/>
                <w:sz w:val="21"/>
                <w:szCs w:val="21"/>
                <w:u w:val="none"/>
                <w:lang w:val="en-US" w:eastAsia="zh-CN" w:bidi="ar"/>
              </w:rPr>
              <w:t>100%</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20000BC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top"/>
          </w:tcPr>
          <w:p w14:paraId="78459B9A">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2F4DC4">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40613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206"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098042">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14:paraId="7124CE9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1.3 </w:t>
            </w:r>
            <w:r>
              <w:rPr>
                <w:rStyle w:val="11"/>
                <w:rFonts w:hint="default"/>
                <w:kern w:val="2"/>
                <w:sz w:val="21"/>
                <w:szCs w:val="21"/>
                <w:lang w:val="en-US" w:eastAsia="zh-CN" w:bidi="ar"/>
              </w:rPr>
              <w:t>经营范围（</w:t>
            </w:r>
            <w:r>
              <w:rPr>
                <w:rFonts w:hint="default" w:ascii="Times New Roman" w:hAnsi="Times New Roman" w:eastAsia="宋体" w:cs="Times New Roman"/>
                <w:i w:val="0"/>
                <w:iCs w:val="0"/>
                <w:color w:val="000000"/>
                <w:kern w:val="0"/>
                <w:sz w:val="21"/>
                <w:szCs w:val="21"/>
                <w:u w:val="none"/>
                <w:lang w:val="en-US" w:eastAsia="zh-CN" w:bidi="ar"/>
              </w:rPr>
              <w:t>10</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5113E38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经营中成药、化学药、生物制品、体外诊断试剂（药品）、蛋白同化制剂、肽类激素等，得</w:t>
            </w:r>
            <w:r>
              <w:rPr>
                <w:rFonts w:hint="default" w:ascii="Times New Roman" w:hAnsi="Times New Roman" w:eastAsia="宋体" w:cs="Times New Roman"/>
                <w:i w:val="0"/>
                <w:iCs w:val="0"/>
                <w:color w:val="000000"/>
                <w:kern w:val="0"/>
                <w:sz w:val="21"/>
                <w:szCs w:val="21"/>
                <w:u w:val="none"/>
                <w:lang w:val="en-US" w:eastAsia="zh-CN" w:bidi="ar"/>
              </w:rPr>
              <w:t>6</w:t>
            </w:r>
            <w:r>
              <w:rPr>
                <w:rStyle w:val="11"/>
                <w:rFonts w:hint="default"/>
                <w:kern w:val="2"/>
                <w:sz w:val="21"/>
                <w:szCs w:val="21"/>
                <w:lang w:val="en-US" w:eastAsia="zh-CN" w:bidi="ar"/>
              </w:rPr>
              <w:t>分，每少一项扣</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452C3E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2D620495">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restart"/>
            <w:tcBorders>
              <w:top w:val="single" w:color="000000" w:sz="4" w:space="0"/>
              <w:left w:val="single" w:color="000000" w:sz="4" w:space="0"/>
              <w:bottom w:val="single" w:color="000000" w:sz="4" w:space="0"/>
              <w:right w:val="single" w:color="000000" w:sz="4" w:space="0"/>
            </w:tcBorders>
            <w:noWrap w:val="0"/>
            <w:vAlign w:val="center"/>
          </w:tcPr>
          <w:p w14:paraId="4E07695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Fonts w:hint="default" w:ascii="宋体" w:hAnsi="宋体" w:eastAsia="宋体" w:cs="宋体"/>
                <w:i w:val="0"/>
                <w:iCs w:val="0"/>
                <w:color w:val="000000"/>
                <w:kern w:val="0"/>
                <w:sz w:val="21"/>
                <w:szCs w:val="21"/>
                <w:u w:val="none"/>
                <w:lang w:val="en-US" w:eastAsia="zh-CN" w:bidi="ar"/>
              </w:rPr>
              <w:t>提供加盖公章的《药品经营许可证》复印件</w:t>
            </w:r>
          </w:p>
        </w:tc>
      </w:tr>
      <w:tr w14:paraId="5D0AB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623"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D8CA00">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DDB944">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534D4D9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企业除上述经营范围外，同时还经营精神药品、麻醉药品、医疗用毒性药品、药品类易制毒化学品制剂，得</w:t>
            </w:r>
            <w:r>
              <w:rPr>
                <w:rFonts w:hint="default" w:ascii="Times New Roman" w:hAnsi="Times New Roman" w:eastAsia="宋体" w:cs="Times New Roman"/>
                <w:i w:val="0"/>
                <w:iCs w:val="0"/>
                <w:color w:val="000000"/>
                <w:kern w:val="0"/>
                <w:sz w:val="21"/>
                <w:szCs w:val="21"/>
                <w:u w:val="none"/>
                <w:lang w:val="en-US" w:eastAsia="zh-CN" w:bidi="ar"/>
              </w:rPr>
              <w:t>4</w:t>
            </w:r>
            <w:r>
              <w:rPr>
                <w:rStyle w:val="11"/>
                <w:rFonts w:hint="default"/>
                <w:kern w:val="2"/>
                <w:sz w:val="21"/>
                <w:szCs w:val="21"/>
                <w:lang w:val="en-US" w:eastAsia="zh-CN" w:bidi="ar"/>
              </w:rPr>
              <w:t>分，每少一项扣</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D2C3BC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2F4E73E2">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4B8BB0">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04C9B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819" w:hRule="atLeast"/>
          <w:jc w:val="center"/>
        </w:trPr>
        <w:tc>
          <w:tcPr>
            <w:tcW w:w="959" w:type="dxa"/>
            <w:vMerge w:val="restart"/>
            <w:tcBorders>
              <w:top w:val="single" w:color="000000" w:sz="4" w:space="0"/>
              <w:left w:val="single" w:color="000000" w:sz="4" w:space="0"/>
              <w:bottom w:val="single" w:color="000000" w:sz="4" w:space="0"/>
              <w:right w:val="single" w:color="000000" w:sz="4" w:space="0"/>
            </w:tcBorders>
            <w:noWrap w:val="0"/>
            <w:vAlign w:val="center"/>
          </w:tcPr>
          <w:p w14:paraId="0CDDEC5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b/>
                <w:bCs/>
                <w:i w:val="0"/>
                <w:iCs w:val="0"/>
                <w:color w:val="000000"/>
                <w:kern w:val="2"/>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2.</w:t>
            </w:r>
            <w:r>
              <w:rPr>
                <w:rStyle w:val="10"/>
                <w:rFonts w:hint="default"/>
                <w:kern w:val="2"/>
                <w:sz w:val="21"/>
                <w:szCs w:val="21"/>
                <w:lang w:val="en-US" w:eastAsia="zh-CN" w:bidi="ar"/>
              </w:rPr>
              <w:t>配送服务能力（</w:t>
            </w:r>
            <w:r>
              <w:rPr>
                <w:rFonts w:hint="default" w:ascii="Times New Roman" w:hAnsi="Times New Roman" w:eastAsia="宋体" w:cs="Times New Roman"/>
                <w:b/>
                <w:bCs/>
                <w:i w:val="0"/>
                <w:iCs w:val="0"/>
                <w:color w:val="000000"/>
                <w:kern w:val="0"/>
                <w:sz w:val="21"/>
                <w:szCs w:val="21"/>
                <w:u w:val="none"/>
                <w:lang w:val="en-US" w:eastAsia="zh-CN" w:bidi="ar"/>
              </w:rPr>
              <w:t>50</w:t>
            </w:r>
            <w:r>
              <w:rPr>
                <w:rStyle w:val="10"/>
                <w:rFonts w:hint="default"/>
                <w:kern w:val="2"/>
                <w:sz w:val="21"/>
                <w:szCs w:val="21"/>
                <w:lang w:val="en-US" w:eastAsia="zh-CN" w:bidi="ar"/>
              </w:rPr>
              <w:t>分）</w:t>
            </w: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14:paraId="20A8F7F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2.1 </w:t>
            </w:r>
            <w:r>
              <w:rPr>
                <w:rStyle w:val="11"/>
                <w:rFonts w:hint="default"/>
                <w:kern w:val="2"/>
                <w:sz w:val="21"/>
                <w:szCs w:val="21"/>
                <w:lang w:val="en-US" w:eastAsia="zh-CN" w:bidi="ar"/>
              </w:rPr>
              <w:t>仓储面积（</w:t>
            </w:r>
            <w:r>
              <w:rPr>
                <w:rFonts w:hint="default" w:ascii="Times New Roman" w:hAnsi="Times New Roman" w:eastAsia="宋体" w:cs="Times New Roman"/>
                <w:i w:val="0"/>
                <w:iCs w:val="0"/>
                <w:color w:val="000000"/>
                <w:kern w:val="0"/>
                <w:sz w:val="21"/>
                <w:szCs w:val="21"/>
                <w:u w:val="none"/>
                <w:lang w:val="en-US" w:eastAsia="zh-CN" w:bidi="ar"/>
              </w:rPr>
              <w:t>10</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30AE718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常温及阴凉库总面积：</w:t>
            </w:r>
            <w:r>
              <w:rPr>
                <w:rFonts w:hint="default" w:ascii="Times New Roman" w:hAnsi="Times New Roman" w:eastAsia="宋体" w:cs="Times New Roman"/>
                <w:i w:val="0"/>
                <w:iCs w:val="0"/>
                <w:color w:val="000000"/>
                <w:kern w:val="0"/>
                <w:sz w:val="21"/>
                <w:szCs w:val="21"/>
                <w:u w:val="none"/>
                <w:lang w:val="en-US" w:eastAsia="zh-CN" w:bidi="ar"/>
              </w:rPr>
              <w:t>1000m</w:t>
            </w:r>
            <w:r>
              <w:rPr>
                <w:rStyle w:val="14"/>
                <w:rFonts w:eastAsia="宋体"/>
                <w:kern w:val="2"/>
                <w:sz w:val="13"/>
                <w:szCs w:val="13"/>
                <w:lang w:val="en-US" w:eastAsia="zh-CN" w:bidi="ar"/>
              </w:rPr>
              <w:t>2</w:t>
            </w:r>
            <w:r>
              <w:rPr>
                <w:rStyle w:val="11"/>
                <w:rFonts w:hint="default"/>
                <w:kern w:val="2"/>
                <w:sz w:val="21"/>
                <w:szCs w:val="21"/>
                <w:lang w:val="en-US" w:eastAsia="zh-CN" w:bidi="ar"/>
              </w:rPr>
              <w:t>，得</w:t>
            </w:r>
            <w:r>
              <w:rPr>
                <w:rFonts w:hint="default" w:ascii="Times New Roman" w:hAnsi="Times New Roman" w:eastAsia="宋体" w:cs="Times New Roman"/>
                <w:i w:val="0"/>
                <w:iCs w:val="0"/>
                <w:color w:val="000000"/>
                <w:kern w:val="0"/>
                <w:sz w:val="21"/>
                <w:szCs w:val="21"/>
                <w:u w:val="none"/>
                <w:lang w:val="en-US" w:eastAsia="zh-CN" w:bidi="ar"/>
              </w:rPr>
              <w:t>2</w:t>
            </w:r>
            <w:r>
              <w:rPr>
                <w:rStyle w:val="11"/>
                <w:rFonts w:hint="default"/>
                <w:kern w:val="2"/>
                <w:sz w:val="21"/>
                <w:szCs w:val="21"/>
                <w:lang w:val="en-US" w:eastAsia="zh-CN" w:bidi="ar"/>
              </w:rPr>
              <w:t>分；每超</w:t>
            </w:r>
            <w:r>
              <w:rPr>
                <w:rFonts w:hint="default" w:ascii="Times New Roman" w:hAnsi="Times New Roman" w:eastAsia="宋体" w:cs="Times New Roman"/>
                <w:i w:val="0"/>
                <w:iCs w:val="0"/>
                <w:color w:val="000000"/>
                <w:kern w:val="0"/>
                <w:sz w:val="21"/>
                <w:szCs w:val="21"/>
                <w:u w:val="none"/>
                <w:lang w:val="en-US" w:eastAsia="zh-CN" w:bidi="ar"/>
              </w:rPr>
              <w:t>1000m</w:t>
            </w:r>
            <w:r>
              <w:rPr>
                <w:rStyle w:val="14"/>
                <w:rFonts w:eastAsia="宋体"/>
                <w:kern w:val="2"/>
                <w:sz w:val="13"/>
                <w:szCs w:val="13"/>
                <w:lang w:val="en-US" w:eastAsia="zh-CN" w:bidi="ar"/>
              </w:rPr>
              <w:t>2</w:t>
            </w:r>
            <w:r>
              <w:rPr>
                <w:rStyle w:val="11"/>
                <w:rFonts w:hint="default"/>
                <w:kern w:val="2"/>
                <w:sz w:val="21"/>
                <w:szCs w:val="21"/>
                <w:lang w:val="en-US" w:eastAsia="zh-CN" w:bidi="ar"/>
              </w:rPr>
              <w:t>加</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分，最多不超过</w:t>
            </w:r>
            <w:r>
              <w:rPr>
                <w:rFonts w:hint="default" w:ascii="Times New Roman" w:hAnsi="Times New Roman" w:eastAsia="宋体" w:cs="Times New Roman"/>
                <w:i w:val="0"/>
                <w:iCs w:val="0"/>
                <w:color w:val="000000"/>
                <w:kern w:val="0"/>
                <w:sz w:val="21"/>
                <w:szCs w:val="21"/>
                <w:u w:val="none"/>
                <w:lang w:val="en-US" w:eastAsia="zh-CN" w:bidi="ar"/>
              </w:rPr>
              <w:t>7</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3A3C508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675" w:type="dxa"/>
            <w:vMerge w:val="restart"/>
            <w:tcBorders>
              <w:top w:val="single" w:color="000000" w:sz="4" w:space="0"/>
              <w:left w:val="single" w:color="000000" w:sz="4" w:space="0"/>
              <w:bottom w:val="single" w:color="000000" w:sz="4" w:space="0"/>
              <w:right w:val="single" w:color="000000" w:sz="4" w:space="0"/>
            </w:tcBorders>
            <w:noWrap w:val="0"/>
            <w:vAlign w:val="top"/>
          </w:tcPr>
          <w:p w14:paraId="6D18DD56">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restart"/>
            <w:tcBorders>
              <w:top w:val="single" w:color="000000" w:sz="4" w:space="0"/>
              <w:left w:val="single" w:color="000000" w:sz="4" w:space="0"/>
              <w:bottom w:val="single" w:color="000000" w:sz="4" w:space="0"/>
              <w:right w:val="single" w:color="000000" w:sz="4" w:space="0"/>
            </w:tcBorders>
            <w:noWrap w:val="0"/>
            <w:vAlign w:val="center"/>
          </w:tcPr>
          <w:p w14:paraId="0D023BF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（1）属于自有储存运输：仓库及相关设施设备的产权证明</w:t>
            </w:r>
            <w:r>
              <w:rPr>
                <w:rFonts w:hint="eastAsia"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市场监督部门公布的相关数据或产权证或有测绘资质的第三方机构出具的证明）；复印件加盖公章，原件备查，并备注日期。</w:t>
            </w:r>
          </w:p>
          <w:p w14:paraId="36372DB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（2）属于委托储存运输：需提供受托方的上述相关材料。</w:t>
            </w:r>
          </w:p>
          <w:p w14:paraId="4A829FE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（3）药品冷藏库不可另租赁。</w:t>
            </w:r>
          </w:p>
        </w:tc>
      </w:tr>
      <w:tr w14:paraId="0F88D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93"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4F9DEF">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B65E64">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01C636C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冷库面积：</w:t>
            </w:r>
            <w:r>
              <w:rPr>
                <w:rFonts w:hint="default" w:ascii="Times New Roman" w:hAnsi="Times New Roman" w:eastAsia="宋体" w:cs="Times New Roman"/>
                <w:i w:val="0"/>
                <w:iCs w:val="0"/>
                <w:color w:val="000000"/>
                <w:kern w:val="0"/>
                <w:sz w:val="21"/>
                <w:szCs w:val="21"/>
                <w:u w:val="none"/>
                <w:lang w:val="en-US" w:eastAsia="zh-CN" w:bidi="ar"/>
              </w:rPr>
              <w:t>30m</w:t>
            </w:r>
            <w:r>
              <w:rPr>
                <w:rStyle w:val="14"/>
                <w:rFonts w:eastAsia="宋体"/>
                <w:kern w:val="2"/>
                <w:sz w:val="13"/>
                <w:szCs w:val="13"/>
                <w:lang w:val="en-US" w:eastAsia="zh-CN" w:bidi="ar"/>
              </w:rPr>
              <w:t>3</w:t>
            </w:r>
            <w:r>
              <w:rPr>
                <w:rStyle w:val="11"/>
                <w:rFonts w:hint="default"/>
                <w:kern w:val="2"/>
                <w:sz w:val="21"/>
                <w:szCs w:val="21"/>
                <w:lang w:val="en-US" w:eastAsia="zh-CN" w:bidi="ar"/>
              </w:rPr>
              <w:t>，得</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分；每增加</w:t>
            </w:r>
            <w:r>
              <w:rPr>
                <w:rFonts w:hint="default" w:ascii="Times New Roman" w:hAnsi="Times New Roman" w:eastAsia="宋体" w:cs="Times New Roman"/>
                <w:i w:val="0"/>
                <w:iCs w:val="0"/>
                <w:color w:val="000000"/>
                <w:kern w:val="0"/>
                <w:sz w:val="21"/>
                <w:szCs w:val="21"/>
                <w:u w:val="none"/>
                <w:lang w:val="en-US" w:eastAsia="zh-CN" w:bidi="ar"/>
              </w:rPr>
              <w:t>20m</w:t>
            </w:r>
            <w:r>
              <w:rPr>
                <w:rStyle w:val="14"/>
                <w:rFonts w:eastAsia="宋体"/>
                <w:kern w:val="2"/>
                <w:sz w:val="13"/>
                <w:szCs w:val="13"/>
                <w:lang w:val="en-US" w:eastAsia="zh-CN" w:bidi="ar"/>
              </w:rPr>
              <w:t>3</w:t>
            </w:r>
            <w:r>
              <w:rPr>
                <w:rStyle w:val="11"/>
                <w:rFonts w:hint="default"/>
                <w:kern w:val="2"/>
                <w:sz w:val="21"/>
                <w:szCs w:val="21"/>
                <w:lang w:val="en-US" w:eastAsia="zh-CN" w:bidi="ar"/>
              </w:rPr>
              <w:t>加</w:t>
            </w:r>
            <w:r>
              <w:rPr>
                <w:rFonts w:hint="default" w:ascii="Times New Roman" w:hAnsi="Times New Roman" w:eastAsia="宋体" w:cs="Times New Roman"/>
                <w:i w:val="0"/>
                <w:iCs w:val="0"/>
                <w:color w:val="000000"/>
                <w:kern w:val="0"/>
                <w:sz w:val="21"/>
                <w:szCs w:val="21"/>
                <w:u w:val="none"/>
                <w:lang w:val="en-US" w:eastAsia="zh-CN" w:bidi="ar"/>
              </w:rPr>
              <w:t>0.5</w:t>
            </w:r>
            <w:r>
              <w:rPr>
                <w:rStyle w:val="11"/>
                <w:rFonts w:hint="default"/>
                <w:kern w:val="2"/>
                <w:sz w:val="21"/>
                <w:szCs w:val="21"/>
                <w:lang w:val="en-US" w:eastAsia="zh-CN" w:bidi="ar"/>
              </w:rPr>
              <w:t>分，最多不超过</w:t>
            </w:r>
            <w:r>
              <w:rPr>
                <w:rFonts w:hint="default" w:ascii="Times New Roman" w:hAnsi="Times New Roman" w:eastAsia="宋体" w:cs="Times New Roman"/>
                <w:i w:val="0"/>
                <w:iCs w:val="0"/>
                <w:color w:val="000000"/>
                <w:kern w:val="0"/>
                <w:sz w:val="21"/>
                <w:szCs w:val="21"/>
                <w:u w:val="none"/>
                <w:lang w:val="en-US" w:eastAsia="zh-CN" w:bidi="ar"/>
              </w:rPr>
              <w:t>3</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5334BE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top"/>
          </w:tcPr>
          <w:p w14:paraId="7129485D">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0BDAE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Times New Roman" w:hAnsi="Times New Roman" w:eastAsia="宋体" w:cs="Times New Roman"/>
                <w:i w:val="0"/>
                <w:iCs w:val="0"/>
                <w:color w:val="000000"/>
                <w:kern w:val="0"/>
                <w:sz w:val="21"/>
                <w:szCs w:val="21"/>
                <w:u w:val="none"/>
                <w:lang w:val="en-US" w:eastAsia="zh-CN" w:bidi="ar"/>
              </w:rPr>
            </w:pPr>
          </w:p>
        </w:tc>
      </w:tr>
      <w:tr w14:paraId="26E93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09"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3983D5">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14:paraId="16A6D6D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2.2 </w:t>
            </w:r>
            <w:r>
              <w:rPr>
                <w:rStyle w:val="11"/>
                <w:rFonts w:hint="default"/>
                <w:kern w:val="2"/>
                <w:sz w:val="21"/>
                <w:szCs w:val="21"/>
                <w:lang w:val="en-US" w:eastAsia="zh-CN" w:bidi="ar"/>
              </w:rPr>
              <w:t>仓储地点（</w:t>
            </w:r>
            <w:r>
              <w:rPr>
                <w:rFonts w:hint="default" w:ascii="Times New Roman" w:hAnsi="Times New Roman" w:eastAsia="宋体" w:cs="Times New Roman"/>
                <w:i w:val="0"/>
                <w:iCs w:val="0"/>
                <w:color w:val="000000"/>
                <w:kern w:val="0"/>
                <w:sz w:val="21"/>
                <w:szCs w:val="21"/>
                <w:u w:val="none"/>
                <w:lang w:val="en-US" w:eastAsia="zh-CN" w:bidi="ar"/>
              </w:rPr>
              <w:t>6</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4D9C1A4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广西区外</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18F2B0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5C7CCF82">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F6BFE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Times New Roman" w:hAnsi="Times New Roman" w:eastAsia="宋体" w:cs="Times New Roman"/>
                <w:i w:val="0"/>
                <w:iCs w:val="0"/>
                <w:color w:val="000000"/>
                <w:kern w:val="0"/>
                <w:sz w:val="21"/>
                <w:szCs w:val="21"/>
                <w:u w:val="none"/>
                <w:lang w:val="en-US" w:eastAsia="zh-CN" w:bidi="ar"/>
              </w:rPr>
            </w:pPr>
          </w:p>
        </w:tc>
      </w:tr>
      <w:tr w14:paraId="7CBC0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564"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0D00AC">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B9B043">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7554A35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非医疗机构所在地范围的广西区内</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297ADBD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125C75A1">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68E84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Times New Roman" w:hAnsi="Times New Roman" w:eastAsia="宋体" w:cs="Times New Roman"/>
                <w:i w:val="0"/>
                <w:iCs w:val="0"/>
                <w:color w:val="000000"/>
                <w:kern w:val="0"/>
                <w:sz w:val="21"/>
                <w:szCs w:val="21"/>
                <w:u w:val="none"/>
                <w:lang w:val="en-US" w:eastAsia="zh-CN" w:bidi="ar"/>
              </w:rPr>
            </w:pPr>
          </w:p>
        </w:tc>
      </w:tr>
      <w:tr w14:paraId="1BFEC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684"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6C171D">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9A607F">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326FABA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医疗机构所在地市范围内</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42C0DBC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038E86F5">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C11E4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Times New Roman" w:hAnsi="Times New Roman" w:eastAsia="宋体" w:cs="Times New Roman"/>
                <w:i w:val="0"/>
                <w:iCs w:val="0"/>
                <w:color w:val="000000"/>
                <w:kern w:val="0"/>
                <w:sz w:val="21"/>
                <w:szCs w:val="21"/>
                <w:u w:val="none"/>
                <w:lang w:val="en-US" w:eastAsia="zh-CN" w:bidi="ar"/>
              </w:rPr>
            </w:pPr>
          </w:p>
        </w:tc>
      </w:tr>
      <w:tr w14:paraId="7E60E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744"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6AE22F">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14:paraId="60EC448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Style w:val="11"/>
                <w:rFonts w:hint="default"/>
                <w:kern w:val="2"/>
                <w:sz w:val="21"/>
                <w:szCs w:val="21"/>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2.3 </w:t>
            </w:r>
            <w:r>
              <w:rPr>
                <w:rStyle w:val="11"/>
                <w:rFonts w:hint="default"/>
                <w:kern w:val="2"/>
                <w:sz w:val="21"/>
                <w:szCs w:val="21"/>
                <w:lang w:val="en-US" w:eastAsia="zh-CN" w:bidi="ar"/>
              </w:rPr>
              <w:t>运输车辆配备</w:t>
            </w:r>
          </w:p>
          <w:p w14:paraId="0DDD7BB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10</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1117EA9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普通运输车辆（</w:t>
            </w:r>
            <w:r>
              <w:rPr>
                <w:rFonts w:hint="default" w:ascii="Times New Roman" w:hAnsi="Times New Roman" w:eastAsia="宋体" w:cs="Times New Roman"/>
                <w:i w:val="0"/>
                <w:iCs w:val="0"/>
                <w:color w:val="000000"/>
                <w:kern w:val="0"/>
                <w:sz w:val="21"/>
                <w:szCs w:val="21"/>
                <w:u w:val="none"/>
                <w:lang w:val="en-US" w:eastAsia="zh-CN" w:bidi="ar"/>
              </w:rPr>
              <w:t>2</w:t>
            </w:r>
            <w:r>
              <w:rPr>
                <w:rStyle w:val="11"/>
                <w:rFonts w:hint="default"/>
                <w:kern w:val="2"/>
                <w:sz w:val="21"/>
                <w:szCs w:val="21"/>
                <w:lang w:val="en-US" w:eastAsia="zh-CN" w:bidi="ar"/>
              </w:rPr>
              <w:t>辆运输车，得</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分，每增加</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辆加</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分，最多不超过</w:t>
            </w:r>
            <w:r>
              <w:rPr>
                <w:rFonts w:hint="default" w:ascii="Times New Roman" w:hAnsi="Times New Roman" w:eastAsia="宋体" w:cs="Times New Roman"/>
                <w:i w:val="0"/>
                <w:iCs w:val="0"/>
                <w:color w:val="000000"/>
                <w:kern w:val="0"/>
                <w:sz w:val="21"/>
                <w:szCs w:val="21"/>
                <w:u w:val="none"/>
                <w:lang w:val="en-US" w:eastAsia="zh-CN" w:bidi="ar"/>
              </w:rPr>
              <w:t>7</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57F17A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33A3FC0D">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restart"/>
            <w:tcBorders>
              <w:top w:val="single" w:color="000000" w:sz="4" w:space="0"/>
              <w:left w:val="single" w:color="000000" w:sz="4" w:space="0"/>
              <w:bottom w:val="single" w:color="000000" w:sz="4" w:space="0"/>
              <w:right w:val="single" w:color="000000" w:sz="4" w:space="0"/>
            </w:tcBorders>
            <w:noWrap w:val="0"/>
            <w:vAlign w:val="center"/>
          </w:tcPr>
          <w:p w14:paraId="178ACBF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（1）自有车辆或委托运输，需提供行驶证、车辆登记证等相关有效证明。</w:t>
            </w:r>
          </w:p>
          <w:p w14:paraId="459370B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（2）冷藏车提供符合国家相关法律法规的验证报告（提交验证综述即可）。</w:t>
            </w:r>
          </w:p>
        </w:tc>
      </w:tr>
      <w:tr w14:paraId="2D240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21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1BD107">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8C58BA">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0638DF3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冷链运输车辆（</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辆冷链运输车，得</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分，每增加</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辆加</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分，最多不超过</w:t>
            </w:r>
            <w:r>
              <w:rPr>
                <w:rFonts w:hint="default" w:ascii="Times New Roman" w:hAnsi="Times New Roman" w:eastAsia="宋体" w:cs="Times New Roman"/>
                <w:i w:val="0"/>
                <w:iCs w:val="0"/>
                <w:color w:val="000000"/>
                <w:kern w:val="0"/>
                <w:sz w:val="21"/>
                <w:szCs w:val="21"/>
                <w:u w:val="none"/>
                <w:lang w:val="en-US" w:eastAsia="zh-CN" w:bidi="ar"/>
              </w:rPr>
              <w:t>3</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2A5057D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128262AF">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D32A3D">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23D78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275"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FD7E8B">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187E2A7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2.4 仓储现代化水平</w:t>
            </w:r>
          </w:p>
          <w:p w14:paraId="5503594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375E23A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具备自动运送系统（2分），具备电子标签自动分拣系统（2分），采用自动化的货物存储和检索系统（2分），得6分。</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0C49BE6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2DD7DF67">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1853280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Fonts w:hint="default" w:ascii="宋体" w:hAnsi="宋体" w:eastAsia="宋体" w:cs="宋体"/>
                <w:i w:val="0"/>
                <w:iCs w:val="0"/>
                <w:color w:val="000000"/>
                <w:kern w:val="0"/>
                <w:sz w:val="21"/>
                <w:szCs w:val="21"/>
                <w:u w:val="none"/>
                <w:lang w:val="en-US" w:eastAsia="zh-CN" w:bidi="ar"/>
              </w:rPr>
              <w:t>企业所在地药监局现场检查确认证明</w:t>
            </w:r>
          </w:p>
        </w:tc>
      </w:tr>
      <w:tr w14:paraId="1F217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302"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BBF260">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14:paraId="49CAE3A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2.5 药品管理信息化</w:t>
            </w:r>
          </w:p>
          <w:p w14:paraId="1D4A71E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621C16E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实现药品购进、储存、出库、配送等全过程实时追溯系统，得4分，每少一项过程监控扣1分</w:t>
            </w:r>
            <w:r>
              <w:rPr>
                <w:rFonts w:hint="eastAsia"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1D28A00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7B8F6B1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805" w:type="dxa"/>
            <w:vMerge w:val="restart"/>
            <w:tcBorders>
              <w:top w:val="single" w:color="000000" w:sz="4" w:space="0"/>
              <w:left w:val="single" w:color="000000" w:sz="4" w:space="0"/>
              <w:bottom w:val="single" w:color="000000" w:sz="4" w:space="0"/>
              <w:right w:val="single" w:color="000000" w:sz="4" w:space="0"/>
            </w:tcBorders>
            <w:noWrap w:val="0"/>
            <w:vAlign w:val="center"/>
          </w:tcPr>
          <w:p w14:paraId="26B8DA2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相关佐证材料（包括但不限于提供各信息系统板块界面截图）</w:t>
            </w:r>
            <w:r>
              <w:rPr>
                <w:rFonts w:hint="eastAsia" w:cs="Times New Roman"/>
                <w:i w:val="0"/>
                <w:iCs w:val="0"/>
                <w:color w:val="000000"/>
                <w:kern w:val="0"/>
                <w:sz w:val="21"/>
                <w:szCs w:val="21"/>
                <w:u w:val="none"/>
                <w:lang w:val="en-US" w:eastAsia="zh-CN" w:bidi="ar"/>
              </w:rPr>
              <w:t>，加</w:t>
            </w:r>
            <w:r>
              <w:rPr>
                <w:rFonts w:hint="default" w:ascii="Times New Roman" w:hAnsi="Times New Roman" w:eastAsia="宋体" w:cs="Times New Roman"/>
                <w:i w:val="0"/>
                <w:iCs w:val="0"/>
                <w:color w:val="000000"/>
                <w:kern w:val="0"/>
                <w:sz w:val="21"/>
                <w:szCs w:val="21"/>
                <w:u w:val="none"/>
                <w:lang w:val="en-US" w:eastAsia="zh-CN" w:bidi="ar"/>
              </w:rPr>
              <w:t>盖企业公章</w:t>
            </w:r>
            <w:r>
              <w:rPr>
                <w:rFonts w:hint="eastAsia" w:cs="Times New Roman"/>
                <w:i w:val="0"/>
                <w:iCs w:val="0"/>
                <w:color w:val="000000"/>
                <w:kern w:val="0"/>
                <w:sz w:val="21"/>
                <w:szCs w:val="21"/>
                <w:u w:val="none"/>
                <w:lang w:val="en-US" w:eastAsia="zh-CN" w:bidi="ar"/>
              </w:rPr>
              <w:t>。</w:t>
            </w:r>
          </w:p>
        </w:tc>
      </w:tr>
      <w:tr w14:paraId="0A173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485"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5E070B">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68C3E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596F636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实现发票电子化，得2分</w:t>
            </w:r>
            <w:r>
              <w:rPr>
                <w:rFonts w:hint="eastAsia"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BF6289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177A56F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7488C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Times New Roman" w:hAnsi="Times New Roman" w:eastAsia="宋体" w:cs="Times New Roman"/>
                <w:i w:val="0"/>
                <w:iCs w:val="0"/>
                <w:color w:val="000000"/>
                <w:kern w:val="0"/>
                <w:sz w:val="21"/>
                <w:szCs w:val="21"/>
                <w:u w:val="none"/>
                <w:lang w:val="en-US" w:eastAsia="zh-CN" w:bidi="ar"/>
              </w:rPr>
            </w:pPr>
          </w:p>
        </w:tc>
      </w:tr>
      <w:tr w14:paraId="2A38F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527"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F783B8">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restart"/>
            <w:tcBorders>
              <w:top w:val="single" w:color="000000" w:sz="4" w:space="0"/>
              <w:left w:val="single" w:color="000000" w:sz="4" w:space="0"/>
              <w:bottom w:val="single" w:color="000000" w:sz="4" w:space="0"/>
              <w:right w:val="single" w:color="000000" w:sz="4" w:space="0"/>
            </w:tcBorders>
            <w:noWrap w:val="0"/>
            <w:vAlign w:val="center"/>
          </w:tcPr>
          <w:p w14:paraId="690EFA4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2.6 </w:t>
            </w:r>
            <w:r>
              <w:rPr>
                <w:rStyle w:val="11"/>
                <w:rFonts w:hint="default"/>
                <w:kern w:val="2"/>
                <w:sz w:val="21"/>
                <w:szCs w:val="21"/>
                <w:lang w:val="en-US" w:eastAsia="zh-CN" w:bidi="ar"/>
              </w:rPr>
              <w:t>药学技术人员配备（</w:t>
            </w:r>
            <w:r>
              <w:rPr>
                <w:rFonts w:hint="default" w:ascii="Times New Roman" w:hAnsi="Times New Roman" w:eastAsia="宋体" w:cs="Times New Roman"/>
                <w:i w:val="0"/>
                <w:iCs w:val="0"/>
                <w:color w:val="000000"/>
                <w:kern w:val="0"/>
                <w:sz w:val="21"/>
                <w:szCs w:val="21"/>
                <w:u w:val="none"/>
                <w:lang w:val="en-US" w:eastAsia="zh-CN" w:bidi="ar"/>
              </w:rPr>
              <w:t>7</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5A5AC8F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配备与经营规模相适应的一定数量的执业药师或依法经过资格认定的其他药学技术人员，占企业员工数10%及以上，得5分，每少2%减1分</w:t>
            </w:r>
            <w:r>
              <w:rPr>
                <w:rFonts w:hint="eastAsia"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2CCBD6E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5495F7B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805" w:type="dxa"/>
            <w:vMerge w:val="restart"/>
            <w:tcBorders>
              <w:top w:val="single" w:color="000000" w:sz="4" w:space="0"/>
              <w:left w:val="single" w:color="000000" w:sz="4" w:space="0"/>
              <w:bottom w:val="single" w:color="000000" w:sz="4" w:space="0"/>
              <w:right w:val="single" w:color="000000" w:sz="4" w:space="0"/>
            </w:tcBorders>
            <w:noWrap w:val="0"/>
            <w:vAlign w:val="center"/>
          </w:tcPr>
          <w:p w14:paraId="05C456B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以企业员工配备名单、药监局颁发的在有效期内的执业药师注册证、参保证明作为依据，并提供相关人员资质证明（学历证明、资质证书等）</w:t>
            </w:r>
            <w:r>
              <w:rPr>
                <w:rFonts w:hint="eastAsia" w:cs="Times New Roman"/>
                <w:i w:val="0"/>
                <w:iCs w:val="0"/>
                <w:color w:val="000000"/>
                <w:kern w:val="0"/>
                <w:sz w:val="21"/>
                <w:szCs w:val="21"/>
                <w:u w:val="none"/>
                <w:lang w:val="en-US" w:eastAsia="zh-CN" w:bidi="ar"/>
              </w:rPr>
              <w:t>。</w:t>
            </w:r>
          </w:p>
        </w:tc>
      </w:tr>
      <w:tr w14:paraId="17224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09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54CCCF">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064818">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i w:val="0"/>
                <w:iCs w:val="0"/>
                <w:color w:val="000000"/>
                <w:kern w:val="2"/>
                <w:sz w:val="21"/>
                <w:szCs w:val="21"/>
                <w:u w:val="none"/>
              </w:rPr>
            </w:pP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42AF47C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质量管理负责人具有大学以上学历，且必须是执业药师，有3年以上药品经营质量管理工作经验，满足此项得2分</w:t>
            </w:r>
            <w:r>
              <w:rPr>
                <w:rFonts w:hint="eastAsia"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482FD82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12240BC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59FB0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Times New Roman" w:hAnsi="Times New Roman" w:eastAsia="宋体" w:cs="Times New Roman"/>
                <w:i w:val="0"/>
                <w:iCs w:val="0"/>
                <w:color w:val="000000"/>
                <w:kern w:val="0"/>
                <w:sz w:val="21"/>
                <w:szCs w:val="21"/>
                <w:u w:val="none"/>
                <w:lang w:val="en-US" w:eastAsia="zh-CN" w:bidi="ar"/>
              </w:rPr>
            </w:pPr>
          </w:p>
        </w:tc>
      </w:tr>
      <w:tr w14:paraId="5108B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377"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1F179B">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48B0A4A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2.7 </w:t>
            </w:r>
            <w:r>
              <w:rPr>
                <w:rStyle w:val="11"/>
                <w:rFonts w:hint="default"/>
                <w:kern w:val="2"/>
                <w:sz w:val="21"/>
                <w:szCs w:val="21"/>
                <w:lang w:val="en-US" w:eastAsia="zh-CN" w:bidi="ar"/>
              </w:rPr>
              <w:t>配送服务覆盖范围（</w:t>
            </w:r>
            <w:r>
              <w:rPr>
                <w:rFonts w:hint="default" w:ascii="Times New Roman" w:hAnsi="Times New Roman" w:eastAsia="宋体" w:cs="Times New Roman"/>
                <w:i w:val="0"/>
                <w:iCs w:val="0"/>
                <w:color w:val="000000"/>
                <w:kern w:val="0"/>
                <w:sz w:val="21"/>
                <w:szCs w:val="21"/>
                <w:u w:val="none"/>
                <w:lang w:val="en-US" w:eastAsia="zh-CN" w:bidi="ar"/>
              </w:rPr>
              <w:t>5</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6BD5F6E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配送广西区内医疗机构情况：每配送2家医疗机构得0.5分，最多不超过5分</w:t>
            </w:r>
            <w:r>
              <w:rPr>
                <w:rFonts w:hint="eastAsia"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413963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68561BF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28DA0F0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提供合作医疗机构的购销合同或相关协议复印件（含盖章页）</w:t>
            </w:r>
            <w:r>
              <w:rPr>
                <w:rFonts w:hint="eastAsia" w:cs="Times New Roman"/>
                <w:i w:val="0"/>
                <w:iCs w:val="0"/>
                <w:color w:val="000000"/>
                <w:kern w:val="0"/>
                <w:sz w:val="21"/>
                <w:szCs w:val="21"/>
                <w:u w:val="none"/>
                <w:lang w:val="en-US" w:eastAsia="zh-CN" w:bidi="ar"/>
              </w:rPr>
              <w:t>。</w:t>
            </w:r>
          </w:p>
        </w:tc>
      </w:tr>
      <w:tr w14:paraId="27FEF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350" w:hRule="atLeast"/>
          <w:jc w:val="center"/>
        </w:trPr>
        <w:tc>
          <w:tcPr>
            <w:tcW w:w="959" w:type="dxa"/>
            <w:vMerge w:val="restart"/>
            <w:tcBorders>
              <w:top w:val="single" w:color="000000" w:sz="4" w:space="0"/>
              <w:left w:val="single" w:color="000000" w:sz="4" w:space="0"/>
              <w:bottom w:val="single" w:color="000000" w:sz="4" w:space="0"/>
              <w:right w:val="single" w:color="000000" w:sz="4" w:space="0"/>
            </w:tcBorders>
            <w:noWrap w:val="0"/>
            <w:vAlign w:val="center"/>
          </w:tcPr>
          <w:p w14:paraId="06F78BD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b/>
                <w:bCs/>
                <w:i w:val="0"/>
                <w:iCs w:val="0"/>
                <w:color w:val="000000"/>
                <w:kern w:val="2"/>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3.</w:t>
            </w:r>
            <w:r>
              <w:rPr>
                <w:rStyle w:val="10"/>
                <w:rFonts w:hint="default"/>
                <w:kern w:val="2"/>
                <w:sz w:val="21"/>
                <w:szCs w:val="21"/>
                <w:lang w:val="en-US" w:eastAsia="zh-CN" w:bidi="ar"/>
              </w:rPr>
              <w:t>药品质量与企业管理规范</w:t>
            </w:r>
            <w:r>
              <w:rPr>
                <w:rStyle w:val="10"/>
                <w:rFonts w:hint="eastAsia"/>
                <w:kern w:val="2"/>
                <w:sz w:val="21"/>
                <w:szCs w:val="21"/>
                <w:lang w:val="en-US" w:eastAsia="zh-CN" w:bidi="ar"/>
              </w:rPr>
              <w:t xml:space="preserve"> </w:t>
            </w:r>
            <w:r>
              <w:rPr>
                <w:rStyle w:val="10"/>
                <w:rFonts w:hint="default"/>
                <w:kern w:val="2"/>
                <w:sz w:val="21"/>
                <w:szCs w:val="21"/>
                <w:lang w:val="en-US" w:eastAsia="zh-CN" w:bidi="ar"/>
              </w:rPr>
              <w:t>（</w:t>
            </w:r>
            <w:r>
              <w:rPr>
                <w:rFonts w:hint="default" w:ascii="Times New Roman" w:hAnsi="Times New Roman" w:eastAsia="宋体" w:cs="Times New Roman"/>
                <w:b/>
                <w:bCs/>
                <w:i w:val="0"/>
                <w:iCs w:val="0"/>
                <w:color w:val="000000"/>
                <w:kern w:val="0"/>
                <w:sz w:val="21"/>
                <w:szCs w:val="21"/>
                <w:u w:val="none"/>
                <w:lang w:val="en-US" w:eastAsia="zh-CN" w:bidi="ar"/>
              </w:rPr>
              <w:t>15</w:t>
            </w:r>
            <w:r>
              <w:rPr>
                <w:rStyle w:val="10"/>
                <w:rFonts w:hint="default"/>
                <w:kern w:val="2"/>
                <w:sz w:val="21"/>
                <w:szCs w:val="21"/>
                <w:lang w:val="en-US" w:eastAsia="zh-CN" w:bidi="ar"/>
              </w:rPr>
              <w:t>分）</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4BC58BB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3.1 </w:t>
            </w:r>
            <w:r>
              <w:rPr>
                <w:rStyle w:val="11"/>
                <w:rFonts w:hint="default"/>
                <w:kern w:val="2"/>
                <w:sz w:val="21"/>
                <w:szCs w:val="21"/>
                <w:lang w:val="en-US" w:eastAsia="zh-CN" w:bidi="ar"/>
              </w:rPr>
              <w:t>药品质量控制管理（</w:t>
            </w:r>
            <w:r>
              <w:rPr>
                <w:rFonts w:hint="default" w:ascii="Times New Roman" w:hAnsi="Times New Roman" w:eastAsia="宋体" w:cs="Times New Roman"/>
                <w:i w:val="0"/>
                <w:iCs w:val="0"/>
                <w:color w:val="000000"/>
                <w:kern w:val="0"/>
                <w:sz w:val="21"/>
                <w:szCs w:val="21"/>
                <w:u w:val="none"/>
                <w:lang w:val="en-US" w:eastAsia="zh-CN" w:bidi="ar"/>
              </w:rPr>
              <w:t>6</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70F827E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管理制度完备详细，药品采购、收货及验收、储存、出库复核、销售、运输过程的管理制度齐全，得6分，每少一项制度扣1分</w:t>
            </w:r>
            <w:r>
              <w:rPr>
                <w:rFonts w:hint="eastAsia"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088A4E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49055BA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79E70CC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提供所有环节相关管理制度目录，经营管理记录，盖章企业公章，不提供证明材料的不得分</w:t>
            </w:r>
            <w:r>
              <w:rPr>
                <w:rFonts w:hint="eastAsia" w:cs="Times New Roman"/>
                <w:i w:val="0"/>
                <w:iCs w:val="0"/>
                <w:color w:val="000000"/>
                <w:kern w:val="0"/>
                <w:sz w:val="21"/>
                <w:szCs w:val="21"/>
                <w:u w:val="none"/>
                <w:lang w:val="en-US" w:eastAsia="zh-CN" w:bidi="ar"/>
              </w:rPr>
              <w:t>。</w:t>
            </w:r>
          </w:p>
        </w:tc>
      </w:tr>
      <w:tr w14:paraId="16615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443"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8AC161">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1E5E6E3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Style w:val="11"/>
                <w:rFonts w:hint="default"/>
                <w:kern w:val="2"/>
                <w:sz w:val="21"/>
                <w:szCs w:val="21"/>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 xml:space="preserve">3.2 </w:t>
            </w:r>
            <w:r>
              <w:rPr>
                <w:rStyle w:val="11"/>
                <w:rFonts w:hint="default"/>
                <w:kern w:val="2"/>
                <w:sz w:val="21"/>
                <w:szCs w:val="21"/>
                <w:lang w:val="en-US" w:eastAsia="zh-CN" w:bidi="ar"/>
              </w:rPr>
              <w:t>药品运输储存环境条件控制</w:t>
            </w:r>
          </w:p>
          <w:p w14:paraId="4BC60D6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Style w:val="11"/>
                <w:rFonts w:hint="default"/>
                <w:kern w:val="2"/>
                <w:sz w:val="21"/>
                <w:szCs w:val="21"/>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2</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4471C8D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能严格控制运输和储存环境中的温湿度条件，具备冷链温度监控系统</w:t>
            </w:r>
            <w:r>
              <w:rPr>
                <w:rFonts w:hint="eastAsia"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0D312DC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7E2D69C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023AC13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温度监控系统的证明材料</w:t>
            </w:r>
          </w:p>
        </w:tc>
      </w:tr>
      <w:tr w14:paraId="4013C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2312"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A4D638">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47C919E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 xml:space="preserve">3.3 </w:t>
            </w:r>
            <w:r>
              <w:rPr>
                <w:rStyle w:val="11"/>
                <w:rFonts w:hint="default"/>
                <w:kern w:val="2"/>
                <w:sz w:val="21"/>
                <w:szCs w:val="21"/>
                <w:lang w:val="en-US" w:eastAsia="zh-CN" w:bidi="ar"/>
              </w:rPr>
              <w:t>药物警戒（</w:t>
            </w:r>
            <w:r>
              <w:rPr>
                <w:rFonts w:hint="default" w:ascii="Times New Roman" w:hAnsi="Times New Roman" w:eastAsia="宋体" w:cs="Times New Roman"/>
                <w:i w:val="0"/>
                <w:iCs w:val="0"/>
                <w:color w:val="000000"/>
                <w:kern w:val="0"/>
                <w:sz w:val="21"/>
                <w:szCs w:val="21"/>
                <w:u w:val="none"/>
                <w:lang w:val="en-US" w:eastAsia="zh-CN" w:bidi="ar"/>
              </w:rPr>
              <w:t>7</w:t>
            </w:r>
            <w:r>
              <w:rPr>
                <w:rStyle w:val="11"/>
                <w:rFonts w:hint="default"/>
                <w:kern w:val="2"/>
                <w:sz w:val="21"/>
                <w:szCs w:val="21"/>
                <w:lang w:val="en-US" w:eastAsia="zh-CN" w:bidi="ar"/>
              </w:rPr>
              <w:t>分）</w:t>
            </w:r>
          </w:p>
        </w:tc>
        <w:tc>
          <w:tcPr>
            <w:tcW w:w="4238" w:type="dxa"/>
            <w:tcBorders>
              <w:top w:val="single" w:color="000000" w:sz="4" w:space="0"/>
              <w:left w:val="single" w:color="000000" w:sz="4" w:space="0"/>
              <w:bottom w:val="single" w:color="000000" w:sz="4" w:space="0"/>
              <w:right w:val="single" w:color="000000" w:sz="4" w:space="0"/>
            </w:tcBorders>
            <w:noWrap w:val="0"/>
            <w:vAlign w:val="center"/>
          </w:tcPr>
          <w:p w14:paraId="7C94E10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有药品安全信息（药品不良反应、药品质量问题等）的收集记录（2分）；有药物警戒活动的记录、文档管理（2分）；有药品召回管理的流程制度（2分）；有与药品上市许可持有人、医疗机构、药品生产企业等协同开展药物警戒工作的记录（1分）</w:t>
            </w:r>
            <w:r>
              <w:rPr>
                <w:rFonts w:hint="eastAsia"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715B9D2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4DD8674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805" w:type="dxa"/>
            <w:tcBorders>
              <w:top w:val="single" w:color="000000" w:sz="4" w:space="0"/>
              <w:left w:val="single" w:color="000000" w:sz="4" w:space="0"/>
              <w:bottom w:val="single" w:color="000000" w:sz="4" w:space="0"/>
              <w:right w:val="single" w:color="000000" w:sz="4" w:space="0"/>
            </w:tcBorders>
            <w:noWrap w:val="0"/>
            <w:vAlign w:val="center"/>
          </w:tcPr>
          <w:p w14:paraId="6113AAD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逐条提供证明材料</w:t>
            </w:r>
          </w:p>
        </w:tc>
      </w:tr>
      <w:tr w14:paraId="67BFF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1072" w:hRule="atLeast"/>
          <w:jc w:val="center"/>
        </w:trPr>
        <w:tc>
          <w:tcPr>
            <w:tcW w:w="959" w:type="dxa"/>
            <w:vMerge w:val="restart"/>
            <w:tcBorders>
              <w:top w:val="single" w:color="000000" w:sz="4" w:space="0"/>
              <w:left w:val="single" w:color="000000" w:sz="4" w:space="0"/>
              <w:bottom w:val="single" w:color="000000" w:sz="4" w:space="0"/>
              <w:right w:val="single" w:color="000000" w:sz="4" w:space="0"/>
            </w:tcBorders>
            <w:noWrap w:val="0"/>
            <w:vAlign w:val="center"/>
          </w:tcPr>
          <w:p w14:paraId="51E7E8E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b/>
                <w:bCs/>
                <w:i w:val="0"/>
                <w:iCs w:val="0"/>
                <w:color w:val="000000"/>
                <w:kern w:val="2"/>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4.</w:t>
            </w:r>
            <w:r>
              <w:rPr>
                <w:rStyle w:val="10"/>
                <w:rFonts w:hint="default"/>
                <w:kern w:val="2"/>
                <w:sz w:val="21"/>
                <w:szCs w:val="21"/>
                <w:lang w:val="en-US" w:eastAsia="zh-CN" w:bidi="ar"/>
              </w:rPr>
              <w:t>企业应急保障能力（</w:t>
            </w:r>
            <w:r>
              <w:rPr>
                <w:rFonts w:hint="default" w:ascii="Times New Roman" w:hAnsi="Times New Roman" w:eastAsia="宋体" w:cs="Times New Roman"/>
                <w:b/>
                <w:bCs/>
                <w:i w:val="0"/>
                <w:iCs w:val="0"/>
                <w:color w:val="000000"/>
                <w:kern w:val="0"/>
                <w:sz w:val="21"/>
                <w:szCs w:val="21"/>
                <w:u w:val="none"/>
                <w:lang w:val="en-US" w:eastAsia="zh-CN" w:bidi="ar"/>
              </w:rPr>
              <w:t>10</w:t>
            </w:r>
            <w:r>
              <w:rPr>
                <w:rStyle w:val="10"/>
                <w:rFonts w:hint="default"/>
                <w:kern w:val="2"/>
                <w:sz w:val="21"/>
                <w:szCs w:val="21"/>
                <w:lang w:val="en-US" w:eastAsia="zh-CN" w:bidi="ar"/>
              </w:rPr>
              <w:t>分）</w:t>
            </w:r>
          </w:p>
        </w:tc>
        <w:tc>
          <w:tcPr>
            <w:tcW w:w="5377" w:type="dxa"/>
            <w:gridSpan w:val="2"/>
            <w:tcBorders>
              <w:top w:val="single" w:color="000000" w:sz="4" w:space="0"/>
              <w:left w:val="single" w:color="000000" w:sz="4" w:space="0"/>
              <w:bottom w:val="single" w:color="000000" w:sz="4" w:space="0"/>
              <w:right w:val="single" w:color="000000" w:sz="4" w:space="0"/>
            </w:tcBorders>
            <w:noWrap w:val="0"/>
            <w:vAlign w:val="center"/>
          </w:tcPr>
          <w:p w14:paraId="6133979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提供抢救药、重大疫情、自然灾害及突发公共卫生事件所需的药品或其他特殊加急药品的应对措施/方案，得2分</w:t>
            </w:r>
            <w:r>
              <w:rPr>
                <w:rFonts w:hint="eastAsia" w:cs="Times New Roman"/>
                <w:i w:val="0"/>
                <w:iCs w:val="0"/>
                <w:color w:val="000000"/>
                <w:kern w:val="0"/>
                <w:sz w:val="21"/>
                <w:szCs w:val="21"/>
                <w:u w:val="none"/>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4BD645C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6F12726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2805" w:type="dxa"/>
            <w:vMerge w:val="restart"/>
            <w:tcBorders>
              <w:top w:val="single" w:color="000000" w:sz="4" w:space="0"/>
              <w:left w:val="single" w:color="000000" w:sz="4" w:space="0"/>
              <w:bottom w:val="single" w:color="000000" w:sz="4" w:space="0"/>
              <w:right w:val="single" w:color="000000" w:sz="4" w:space="0"/>
            </w:tcBorders>
            <w:noWrap w:val="0"/>
            <w:vAlign w:val="center"/>
          </w:tcPr>
          <w:p w14:paraId="082A895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逐条提供有效的证明材料作为得分依据；相关应急预案，应包含所有必要的组成部分，如组织结构、风险评估、预防措施、应急响应流程、资源调配、培训和演练计划等</w:t>
            </w:r>
          </w:p>
        </w:tc>
      </w:tr>
      <w:tr w14:paraId="7BB37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735"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F8AA92">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5377" w:type="dxa"/>
            <w:gridSpan w:val="2"/>
            <w:tcBorders>
              <w:top w:val="single" w:color="000000" w:sz="4" w:space="0"/>
              <w:left w:val="single" w:color="000000" w:sz="4" w:space="0"/>
              <w:bottom w:val="single" w:color="000000" w:sz="4" w:space="0"/>
              <w:right w:val="single" w:color="000000" w:sz="4" w:space="0"/>
            </w:tcBorders>
            <w:noWrap w:val="0"/>
            <w:vAlign w:val="center"/>
          </w:tcPr>
          <w:p w14:paraId="7BA5A42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对于医疗机构订单不能满足配送供应时有应对措施</w:t>
            </w:r>
            <w:r>
              <w:rPr>
                <w:rFonts w:hint="default" w:ascii="Times New Roman" w:hAnsi="Times New Roman" w:eastAsia="宋体" w:cs="Times New Roman"/>
                <w:i w:val="0"/>
                <w:iCs w:val="0"/>
                <w:color w:val="000000"/>
                <w:kern w:val="0"/>
                <w:sz w:val="21"/>
                <w:szCs w:val="21"/>
                <w:u w:val="none"/>
                <w:lang w:val="en-US" w:eastAsia="zh-CN" w:bidi="ar"/>
              </w:rPr>
              <w:t>/</w:t>
            </w:r>
            <w:r>
              <w:rPr>
                <w:rStyle w:val="11"/>
                <w:rFonts w:hint="default"/>
                <w:kern w:val="2"/>
                <w:sz w:val="21"/>
                <w:szCs w:val="21"/>
                <w:lang w:val="en-US" w:eastAsia="zh-CN" w:bidi="ar"/>
              </w:rPr>
              <w:t>方案，得</w:t>
            </w:r>
            <w:r>
              <w:rPr>
                <w:rFonts w:hint="default" w:ascii="Times New Roman" w:hAnsi="Times New Roman" w:eastAsia="宋体" w:cs="Times New Roman"/>
                <w:i w:val="0"/>
                <w:iCs w:val="0"/>
                <w:color w:val="000000"/>
                <w:kern w:val="0"/>
                <w:sz w:val="21"/>
                <w:szCs w:val="21"/>
                <w:u w:val="none"/>
                <w:lang w:val="en-US" w:eastAsia="zh-CN" w:bidi="ar"/>
              </w:rPr>
              <w:t>2</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7C9F70A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26B3EB75">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8CC70C">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0A6D2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544"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F61E86">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5377" w:type="dxa"/>
            <w:gridSpan w:val="2"/>
            <w:tcBorders>
              <w:top w:val="single" w:color="000000" w:sz="4" w:space="0"/>
              <w:left w:val="single" w:color="000000" w:sz="4" w:space="0"/>
              <w:bottom w:val="single" w:color="000000" w:sz="4" w:space="0"/>
              <w:right w:val="single" w:color="000000" w:sz="4" w:space="0"/>
            </w:tcBorders>
            <w:noWrap w:val="0"/>
            <w:vAlign w:val="center"/>
          </w:tcPr>
          <w:p w14:paraId="33D253C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本地药品战略物资储备单位，得</w:t>
            </w:r>
            <w:r>
              <w:rPr>
                <w:rFonts w:hint="default" w:ascii="Times New Roman" w:hAnsi="Times New Roman" w:eastAsia="宋体" w:cs="Times New Roman"/>
                <w:i w:val="0"/>
                <w:iCs w:val="0"/>
                <w:color w:val="000000"/>
                <w:kern w:val="0"/>
                <w:sz w:val="21"/>
                <w:szCs w:val="21"/>
                <w:u w:val="none"/>
                <w:lang w:val="en-US" w:eastAsia="zh-CN" w:bidi="ar"/>
              </w:rPr>
              <w:t>2</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D28F5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65F74F25">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703D3C">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5CDB4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737"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5DB6F8">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5377" w:type="dxa"/>
            <w:gridSpan w:val="2"/>
            <w:tcBorders>
              <w:top w:val="single" w:color="000000" w:sz="4" w:space="0"/>
              <w:left w:val="single" w:color="000000" w:sz="4" w:space="0"/>
              <w:bottom w:val="single" w:color="000000" w:sz="4" w:space="0"/>
              <w:right w:val="single" w:color="000000" w:sz="4" w:space="0"/>
            </w:tcBorders>
            <w:noWrap w:val="0"/>
            <w:vAlign w:val="center"/>
          </w:tcPr>
          <w:p w14:paraId="29015B6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具有完善可行的出库、运输、信息、药品安全、冷链等应急保障预案，得</w:t>
            </w:r>
            <w:r>
              <w:rPr>
                <w:rFonts w:hint="default" w:ascii="Times New Roman" w:hAnsi="Times New Roman" w:eastAsia="宋体" w:cs="Times New Roman"/>
                <w:i w:val="0"/>
                <w:iCs w:val="0"/>
                <w:color w:val="000000"/>
                <w:kern w:val="0"/>
                <w:sz w:val="21"/>
                <w:szCs w:val="21"/>
                <w:u w:val="none"/>
                <w:lang w:val="en-US" w:eastAsia="zh-CN" w:bidi="ar"/>
              </w:rPr>
              <w:t>2</w:t>
            </w:r>
            <w:r>
              <w:rPr>
                <w:rStyle w:val="11"/>
                <w:rFonts w:hint="default"/>
                <w:kern w:val="2"/>
                <w:sz w:val="21"/>
                <w:szCs w:val="21"/>
                <w:lang w:val="en-US" w:eastAsia="zh-CN" w:bidi="ar"/>
              </w:rPr>
              <w:t>分</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32586BF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37C820E0">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576BF9">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05AC4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737"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DA29F8">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5377" w:type="dxa"/>
            <w:gridSpan w:val="2"/>
            <w:tcBorders>
              <w:top w:val="single" w:color="000000" w:sz="4" w:space="0"/>
              <w:left w:val="single" w:color="000000" w:sz="4" w:space="0"/>
              <w:bottom w:val="single" w:color="000000" w:sz="4" w:space="0"/>
              <w:right w:val="single" w:color="000000" w:sz="4" w:space="0"/>
            </w:tcBorders>
            <w:noWrap w:val="0"/>
            <w:vAlign w:val="center"/>
          </w:tcPr>
          <w:p w14:paraId="5B26601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应急资源和设备：如备用电源、通讯设备、应急药品储备等，得</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05E851C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4393B047">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F753FA">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5191D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737"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82E2DF">
            <w:pPr>
              <w:keepNext w:val="0"/>
              <w:keepLines w:val="0"/>
              <w:pageBreakBefore w:val="0"/>
              <w:kinsoku/>
              <w:wordWrap/>
              <w:overflowPunct/>
              <w:topLinePunct w:val="0"/>
              <w:autoSpaceDE/>
              <w:autoSpaceDN/>
              <w:bidi w:val="0"/>
              <w:adjustRightInd/>
              <w:snapToGrid/>
              <w:spacing w:line="0" w:lineRule="atLeast"/>
              <w:jc w:val="both"/>
              <w:rPr>
                <w:rFonts w:hint="default" w:ascii="Times New Roman" w:hAnsi="Times New Roman" w:eastAsia="宋体" w:cs="Times New Roman"/>
                <w:b/>
                <w:bCs/>
                <w:i w:val="0"/>
                <w:iCs w:val="0"/>
                <w:color w:val="000000"/>
                <w:kern w:val="2"/>
                <w:sz w:val="21"/>
                <w:szCs w:val="21"/>
                <w:u w:val="none"/>
              </w:rPr>
            </w:pPr>
          </w:p>
        </w:tc>
        <w:tc>
          <w:tcPr>
            <w:tcW w:w="5377" w:type="dxa"/>
            <w:gridSpan w:val="2"/>
            <w:tcBorders>
              <w:top w:val="single" w:color="000000" w:sz="4" w:space="0"/>
              <w:left w:val="single" w:color="000000" w:sz="4" w:space="0"/>
              <w:bottom w:val="single" w:color="000000" w:sz="4" w:space="0"/>
              <w:right w:val="single" w:color="000000" w:sz="4" w:space="0"/>
            </w:tcBorders>
            <w:noWrap w:val="0"/>
            <w:vAlign w:val="center"/>
          </w:tcPr>
          <w:p w14:paraId="2ED4D59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宋体" w:hAnsi="宋体" w:eastAsia="宋体" w:cs="宋体"/>
                <w:i w:val="0"/>
                <w:iCs w:val="0"/>
                <w:color w:val="000000"/>
                <w:kern w:val="2"/>
                <w:sz w:val="21"/>
                <w:szCs w:val="21"/>
                <w:u w:val="none"/>
              </w:rPr>
            </w:pPr>
            <w:r>
              <w:rPr>
                <w:rStyle w:val="11"/>
                <w:rFonts w:hint="default"/>
                <w:kern w:val="2"/>
                <w:sz w:val="21"/>
                <w:szCs w:val="21"/>
                <w:lang w:val="en-US" w:eastAsia="zh-CN" w:bidi="ar"/>
              </w:rPr>
              <w:t>具备信息报告和沟通机制，有定期开展应急演练的记录，得</w:t>
            </w:r>
            <w:r>
              <w:rPr>
                <w:rFonts w:hint="default" w:ascii="Times New Roman" w:hAnsi="Times New Roman" w:eastAsia="宋体" w:cs="Times New Roman"/>
                <w:i w:val="0"/>
                <w:iCs w:val="0"/>
                <w:color w:val="000000"/>
                <w:kern w:val="0"/>
                <w:sz w:val="21"/>
                <w:szCs w:val="21"/>
                <w:u w:val="none"/>
                <w:lang w:val="en-US" w:eastAsia="zh-CN" w:bidi="ar"/>
              </w:rPr>
              <w:t>1</w:t>
            </w:r>
            <w:r>
              <w:rPr>
                <w:rStyle w:val="11"/>
                <w:rFonts w:hint="default"/>
                <w:kern w:val="2"/>
                <w:sz w:val="21"/>
                <w:szCs w:val="21"/>
                <w:lang w:val="en-US" w:eastAsia="zh-CN" w:bidi="ar"/>
              </w:rPr>
              <w:t>分</w:t>
            </w:r>
            <w:r>
              <w:rPr>
                <w:rStyle w:val="11"/>
                <w:rFonts w:hint="eastAsia"/>
                <w:kern w:val="2"/>
                <w:sz w:val="21"/>
                <w:szCs w:val="21"/>
                <w:lang w:val="en-US" w:eastAsia="zh-CN" w:bidi="ar"/>
              </w:rPr>
              <w:t>。</w:t>
            </w: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2B0237F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i w:val="0"/>
                <w:iCs w:val="0"/>
                <w:color w:val="000000"/>
                <w:kern w:val="2"/>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3FCE3AFD">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c>
          <w:tcPr>
            <w:tcW w:w="28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FC65FA">
            <w:pPr>
              <w:keepNext w:val="0"/>
              <w:keepLines w:val="0"/>
              <w:pageBreakBefore w:val="0"/>
              <w:kinsoku/>
              <w:wordWrap/>
              <w:overflowPunct/>
              <w:topLinePunct w:val="0"/>
              <w:autoSpaceDE/>
              <w:autoSpaceDN/>
              <w:bidi w:val="0"/>
              <w:adjustRightInd/>
              <w:snapToGrid/>
              <w:spacing w:line="0" w:lineRule="atLeast"/>
              <w:jc w:val="both"/>
              <w:rPr>
                <w:rFonts w:hint="eastAsia" w:ascii="宋体" w:hAnsi="宋体" w:eastAsia="宋体" w:cs="宋体"/>
                <w:i w:val="0"/>
                <w:iCs w:val="0"/>
                <w:color w:val="000000"/>
                <w:kern w:val="2"/>
                <w:sz w:val="21"/>
                <w:szCs w:val="21"/>
                <w:u w:val="none"/>
              </w:rPr>
            </w:pPr>
          </w:p>
        </w:tc>
      </w:tr>
      <w:tr w14:paraId="13D01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538" w:hRule="atLeast"/>
          <w:jc w:val="center"/>
        </w:trPr>
        <w:tc>
          <w:tcPr>
            <w:tcW w:w="6696" w:type="dxa"/>
            <w:gridSpan w:val="4"/>
            <w:tcBorders>
              <w:top w:val="single" w:color="000000" w:sz="4" w:space="0"/>
              <w:left w:val="single" w:color="000000" w:sz="4" w:space="0"/>
              <w:bottom w:val="single" w:color="000000" w:sz="4" w:space="0"/>
              <w:right w:val="single" w:color="000000" w:sz="4" w:space="0"/>
            </w:tcBorders>
            <w:noWrap w:val="0"/>
            <w:vAlign w:val="center"/>
          </w:tcPr>
          <w:p w14:paraId="14AAC10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宋体" w:hAnsi="宋体" w:eastAsia="宋体" w:cs="宋体"/>
                <w:b/>
                <w:bCs/>
                <w:i w:val="0"/>
                <w:iCs w:val="0"/>
                <w:color w:val="000000"/>
                <w:kern w:val="2"/>
                <w:sz w:val="21"/>
                <w:szCs w:val="21"/>
                <w:u w:val="none"/>
              </w:rPr>
            </w:pPr>
            <w:r>
              <w:rPr>
                <w:rStyle w:val="10"/>
                <w:rFonts w:hint="default"/>
                <w:kern w:val="2"/>
                <w:sz w:val="21"/>
                <w:szCs w:val="21"/>
                <w:lang w:val="en-US" w:eastAsia="zh-CN" w:bidi="ar"/>
              </w:rPr>
              <w:t>合计得分</w:t>
            </w:r>
          </w:p>
        </w:tc>
        <w:tc>
          <w:tcPr>
            <w:tcW w:w="3480" w:type="dxa"/>
            <w:gridSpan w:val="2"/>
            <w:tcBorders>
              <w:top w:val="single" w:color="000000" w:sz="4" w:space="0"/>
              <w:left w:val="single" w:color="000000" w:sz="4" w:space="0"/>
              <w:bottom w:val="single" w:color="000000" w:sz="4" w:space="0"/>
              <w:right w:val="single" w:color="000000" w:sz="4" w:space="0"/>
            </w:tcBorders>
            <w:noWrap w:val="0"/>
            <w:vAlign w:val="top"/>
          </w:tcPr>
          <w:p w14:paraId="4223F867">
            <w:pPr>
              <w:keepNext w:val="0"/>
              <w:keepLines w:val="0"/>
              <w:pageBreakBefore w:val="0"/>
              <w:kinsoku/>
              <w:wordWrap/>
              <w:overflowPunct/>
              <w:topLinePunct w:val="0"/>
              <w:autoSpaceDE/>
              <w:autoSpaceDN/>
              <w:bidi w:val="0"/>
              <w:adjustRightInd/>
              <w:snapToGrid/>
              <w:spacing w:line="0" w:lineRule="atLeast"/>
              <w:jc w:val="both"/>
              <w:rPr>
                <w:rFonts w:hint="default" w:ascii="Arial" w:hAnsi="Arial" w:eastAsia="宋体" w:cs="Arial"/>
                <w:i w:val="0"/>
                <w:iCs w:val="0"/>
                <w:color w:val="000000"/>
                <w:kern w:val="2"/>
                <w:sz w:val="21"/>
                <w:szCs w:val="21"/>
                <w:u w:val="none"/>
              </w:rPr>
            </w:pPr>
          </w:p>
        </w:tc>
      </w:tr>
      <w:tr w14:paraId="332A8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90" w:hRule="atLeast"/>
          <w:jc w:val="center"/>
        </w:trPr>
        <w:tc>
          <w:tcPr>
            <w:tcW w:w="10176" w:type="dxa"/>
            <w:gridSpan w:val="6"/>
            <w:tcBorders>
              <w:top w:val="nil"/>
              <w:left w:val="nil"/>
              <w:bottom w:val="nil"/>
              <w:right w:val="nil"/>
            </w:tcBorders>
            <w:noWrap w:val="0"/>
            <w:vAlign w:val="top"/>
          </w:tcPr>
          <w:p w14:paraId="6FEDB098">
            <w:pPr>
              <w:keepNext w:val="0"/>
              <w:keepLines w:val="0"/>
              <w:pageBreakBefore w:val="0"/>
              <w:widowControl/>
              <w:suppressLineNumbers w:val="0"/>
              <w:kinsoku/>
              <w:wordWrap/>
              <w:overflowPunct/>
              <w:topLinePunct w:val="0"/>
              <w:autoSpaceDE/>
              <w:autoSpaceDN/>
              <w:bidi w:val="0"/>
              <w:adjustRightInd/>
              <w:snapToGrid/>
              <w:spacing w:line="480" w:lineRule="exact"/>
              <w:jc w:val="both"/>
              <w:textAlignment w:val="top"/>
              <w:rPr>
                <w:rStyle w:val="16"/>
                <w:rFonts w:hint="default"/>
                <w:kern w:val="2"/>
                <w:sz w:val="21"/>
                <w:szCs w:val="21"/>
                <w:lang w:val="en-US" w:eastAsia="zh-CN" w:bidi="ar"/>
              </w:rPr>
            </w:pPr>
            <w:r>
              <w:rPr>
                <w:rStyle w:val="16"/>
                <w:rFonts w:hint="default"/>
                <w:kern w:val="2"/>
                <w:sz w:val="21"/>
                <w:szCs w:val="21"/>
                <w:lang w:val="en-US" w:eastAsia="zh-CN" w:bidi="ar"/>
              </w:rPr>
              <w:t>说明：申报</w:t>
            </w:r>
            <w:r>
              <w:rPr>
                <w:rStyle w:val="16"/>
                <w:rFonts w:hint="eastAsia"/>
                <w:kern w:val="2"/>
                <w:sz w:val="21"/>
                <w:szCs w:val="21"/>
                <w:lang w:val="en-US" w:eastAsia="zh-CN" w:bidi="ar"/>
              </w:rPr>
              <w:t>提供</w:t>
            </w:r>
            <w:r>
              <w:rPr>
                <w:rStyle w:val="16"/>
                <w:rFonts w:hint="default"/>
                <w:kern w:val="2"/>
                <w:sz w:val="21"/>
                <w:szCs w:val="21"/>
                <w:lang w:val="en-US" w:eastAsia="zh-CN" w:bidi="ar"/>
              </w:rPr>
              <w:t>的证明材料复印件，每份应加盖企业公章。本标准涉及的数据以申报企业本身数据为准。</w:t>
            </w:r>
          </w:p>
          <w:p w14:paraId="496BE2D4">
            <w:pPr>
              <w:keepNext w:val="0"/>
              <w:keepLines w:val="0"/>
              <w:pageBreakBefore w:val="0"/>
              <w:widowControl/>
              <w:suppressLineNumbers w:val="0"/>
              <w:kinsoku/>
              <w:wordWrap/>
              <w:overflowPunct/>
              <w:topLinePunct w:val="0"/>
              <w:autoSpaceDE/>
              <w:autoSpaceDN/>
              <w:bidi w:val="0"/>
              <w:adjustRightInd/>
              <w:snapToGrid/>
              <w:spacing w:line="480" w:lineRule="exact"/>
              <w:ind w:left="0" w:leftChars="0" w:firstLine="581" w:firstLineChars="288"/>
              <w:jc w:val="left"/>
              <w:textAlignment w:val="top"/>
              <w:rPr>
                <w:rStyle w:val="16"/>
                <w:rFonts w:hint="default" w:ascii="Times New Roman" w:hAnsi="Times New Roman" w:eastAsia="宋体" w:cs="Times New Roman"/>
                <w:kern w:val="2"/>
                <w:sz w:val="24"/>
                <w:szCs w:val="24"/>
                <w:lang w:val="en-US" w:eastAsia="zh-CN" w:bidi="ar"/>
              </w:rPr>
            </w:pPr>
            <w:r>
              <w:rPr>
                <w:rStyle w:val="16"/>
                <w:rFonts w:hint="default"/>
                <w:kern w:val="2"/>
                <w:sz w:val="21"/>
                <w:szCs w:val="21"/>
                <w:lang w:val="en-US" w:eastAsia="zh-CN" w:bidi="ar"/>
              </w:rPr>
              <w:t xml:space="preserve">各医疗机构可根据实际情况调整评分表的分值分配。  </w:t>
            </w:r>
            <w:r>
              <w:rPr>
                <w:rStyle w:val="17"/>
                <w:rFonts w:eastAsia="宋体"/>
                <w:kern w:val="2"/>
                <w:sz w:val="21"/>
                <w:szCs w:val="21"/>
                <w:lang w:val="en-US" w:eastAsia="zh-CN" w:bidi="ar"/>
              </w:rPr>
              <w:t>*</w:t>
            </w:r>
            <w:r>
              <w:rPr>
                <w:rStyle w:val="16"/>
                <w:rFonts w:hint="default"/>
                <w:kern w:val="2"/>
                <w:sz w:val="21"/>
                <w:szCs w:val="21"/>
                <w:lang w:val="en-US" w:eastAsia="zh-CN" w:bidi="ar"/>
              </w:rPr>
              <w:t>指包含下限值但不包含上限值。</w:t>
            </w:r>
          </w:p>
        </w:tc>
      </w:tr>
    </w:tbl>
    <w:p w14:paraId="19B84FDA"/>
    <w:sectPr>
      <w:footerReference r:id="rId3" w:type="default"/>
      <w:pgSz w:w="11906" w:h="16838"/>
      <w:pgMar w:top="1531" w:right="1474" w:bottom="1531" w:left="1587" w:header="851" w:footer="992" w:gutter="0"/>
      <w:cols w:space="0" w:num="1"/>
      <w:rtlGutter w:val="0"/>
      <w:docGrid w:type="linesAndChars" w:linePitch="293"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小标宋">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89CC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478C1D">
                          <w:pPr>
                            <w:pStyle w:val="3"/>
                            <w:rPr>
                              <w:rFonts w:hint="eastAsia" w:eastAsia="宋体"/>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478C1D">
                    <w:pPr>
                      <w:pStyle w:val="3"/>
                      <w:rPr>
                        <w:rFonts w:hint="eastAsia" w:eastAsia="宋体"/>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E2F64"/>
    <w:rsid w:val="01266949"/>
    <w:rsid w:val="090E4468"/>
    <w:rsid w:val="2B5244B4"/>
    <w:rsid w:val="5247070E"/>
    <w:rsid w:val="5B677683"/>
    <w:rsid w:val="5CEB1EEF"/>
    <w:rsid w:val="5DF76757"/>
    <w:rsid w:val="60EC7323"/>
    <w:rsid w:val="69164798"/>
    <w:rsid w:val="6C881617"/>
    <w:rsid w:val="781D2230"/>
    <w:rsid w:val="794E2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460" w:lineRule="exact"/>
      <w:ind w:firstLine="480" w:firstLineChars="200"/>
    </w:pPr>
    <w:rPr>
      <w:sz w:val="24"/>
    </w:rPr>
  </w:style>
  <w:style w:type="paragraph" w:styleId="3">
    <w:name w:val="footer"/>
    <w:basedOn w:val="1"/>
    <w:qFormat/>
    <w:uiPriority w:val="0"/>
    <w:pPr>
      <w:tabs>
        <w:tab w:val="center" w:pos="4153"/>
        <w:tab w:val="right" w:pos="8306"/>
      </w:tabs>
      <w:snapToGrid w:val="0"/>
      <w:jc w:val="left"/>
    </w:pPr>
    <w:rPr>
      <w:sz w:val="18"/>
    </w:rPr>
  </w:style>
  <w:style w:type="character" w:customStyle="1" w:styleId="6">
    <w:name w:val="font31"/>
    <w:basedOn w:val="5"/>
    <w:qFormat/>
    <w:uiPriority w:val="0"/>
    <w:rPr>
      <w:rFonts w:ascii="宋体" w:hAnsi="宋体" w:eastAsia="宋体" w:cs="宋体"/>
      <w:color w:val="000000"/>
      <w:sz w:val="22"/>
      <w:szCs w:val="22"/>
      <w:u w:val="none"/>
    </w:rPr>
  </w:style>
  <w:style w:type="character" w:customStyle="1" w:styleId="7">
    <w:name w:val="font51"/>
    <w:basedOn w:val="5"/>
    <w:qFormat/>
    <w:uiPriority w:val="0"/>
    <w:rPr>
      <w:rFonts w:hint="default" w:ascii="Times New Roman" w:hAnsi="Times New Roman" w:cs="Times New Roman"/>
      <w:color w:val="000000"/>
      <w:sz w:val="22"/>
      <w:szCs w:val="22"/>
      <w:u w:val="none"/>
    </w:rPr>
  </w:style>
  <w:style w:type="character" w:customStyle="1" w:styleId="8">
    <w:name w:val="font61"/>
    <w:basedOn w:val="5"/>
    <w:qFormat/>
    <w:uiPriority w:val="0"/>
    <w:rPr>
      <w:rFonts w:ascii="宋体" w:hAnsi="宋体" w:eastAsia="宋体" w:cs="宋体"/>
      <w:color w:val="000000"/>
      <w:sz w:val="20"/>
      <w:szCs w:val="20"/>
      <w:u w:val="none"/>
    </w:rPr>
  </w:style>
  <w:style w:type="character" w:customStyle="1" w:styleId="9">
    <w:name w:val="font121"/>
    <w:basedOn w:val="5"/>
    <w:qFormat/>
    <w:uiPriority w:val="0"/>
    <w:rPr>
      <w:rFonts w:ascii="宋体" w:hAnsi="宋体" w:eastAsia="宋体" w:cs="宋体"/>
      <w:color w:val="000000"/>
      <w:sz w:val="42"/>
      <w:szCs w:val="42"/>
      <w:u w:val="none"/>
    </w:rPr>
  </w:style>
  <w:style w:type="character" w:customStyle="1" w:styleId="10">
    <w:name w:val="font131"/>
    <w:basedOn w:val="5"/>
    <w:qFormat/>
    <w:uiPriority w:val="0"/>
    <w:rPr>
      <w:rFonts w:ascii="宋体" w:hAnsi="宋体" w:eastAsia="宋体" w:cs="宋体"/>
      <w:b/>
      <w:bCs/>
      <w:color w:val="000000"/>
      <w:sz w:val="22"/>
      <w:szCs w:val="22"/>
      <w:u w:val="none"/>
    </w:rPr>
  </w:style>
  <w:style w:type="character" w:customStyle="1" w:styleId="11">
    <w:name w:val="font71"/>
    <w:basedOn w:val="5"/>
    <w:qFormat/>
    <w:uiPriority w:val="0"/>
    <w:rPr>
      <w:rFonts w:ascii="宋体" w:hAnsi="宋体" w:eastAsia="宋体" w:cs="宋体"/>
      <w:color w:val="000000"/>
      <w:sz w:val="22"/>
      <w:szCs w:val="22"/>
      <w:u w:val="none"/>
    </w:rPr>
  </w:style>
  <w:style w:type="character" w:customStyle="1" w:styleId="12">
    <w:name w:val="font81"/>
    <w:basedOn w:val="5"/>
    <w:qFormat/>
    <w:uiPriority w:val="0"/>
    <w:rPr>
      <w:rFonts w:hint="default" w:ascii="Arial" w:hAnsi="Arial" w:cs="Arial"/>
      <w:color w:val="000000"/>
      <w:sz w:val="20"/>
      <w:szCs w:val="20"/>
      <w:u w:val="none"/>
    </w:rPr>
  </w:style>
  <w:style w:type="character" w:customStyle="1" w:styleId="13">
    <w:name w:val="font141"/>
    <w:basedOn w:val="5"/>
    <w:qFormat/>
    <w:uiPriority w:val="0"/>
    <w:rPr>
      <w:rFonts w:ascii="宋体" w:hAnsi="宋体" w:eastAsia="宋体" w:cs="宋体"/>
      <w:color w:val="000000"/>
      <w:sz w:val="20"/>
      <w:szCs w:val="20"/>
      <w:u w:val="none"/>
    </w:rPr>
  </w:style>
  <w:style w:type="character" w:customStyle="1" w:styleId="14">
    <w:name w:val="font151"/>
    <w:basedOn w:val="5"/>
    <w:qFormat/>
    <w:uiPriority w:val="0"/>
    <w:rPr>
      <w:rFonts w:hint="default" w:ascii="Times New Roman" w:hAnsi="Times New Roman" w:cs="Times New Roman"/>
      <w:color w:val="000000"/>
      <w:sz w:val="14"/>
      <w:szCs w:val="14"/>
      <w:u w:val="none"/>
      <w:vertAlign w:val="superscript"/>
    </w:rPr>
  </w:style>
  <w:style w:type="character" w:customStyle="1" w:styleId="15">
    <w:name w:val="font161"/>
    <w:basedOn w:val="5"/>
    <w:qFormat/>
    <w:uiPriority w:val="0"/>
    <w:rPr>
      <w:rFonts w:hint="default" w:ascii="Times New Roman" w:hAnsi="Times New Roman" w:cs="Times New Roman"/>
      <w:color w:val="000000"/>
      <w:sz w:val="14"/>
      <w:szCs w:val="14"/>
      <w:u w:val="none"/>
    </w:rPr>
  </w:style>
  <w:style w:type="character" w:customStyle="1" w:styleId="16">
    <w:name w:val="font171"/>
    <w:basedOn w:val="5"/>
    <w:qFormat/>
    <w:uiPriority w:val="0"/>
    <w:rPr>
      <w:rFonts w:ascii="宋体" w:hAnsi="宋体" w:eastAsia="宋体" w:cs="宋体"/>
      <w:color w:val="000000"/>
      <w:sz w:val="18"/>
      <w:szCs w:val="18"/>
      <w:u w:val="none"/>
    </w:rPr>
  </w:style>
  <w:style w:type="character" w:customStyle="1" w:styleId="17">
    <w:name w:val="font181"/>
    <w:basedOn w:val="5"/>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10b10b41-c592-4297-a999-0533cc1d16bd</errorID>
      <errorWord>，</errorWord>
      <group>L1_Word</group>
      <groupName>字词问题</groupName>
      <ability>L2_Typo</ability>
      <abilityName>字词错误</abilityName>
      <candidateList>
        <item>，加</item>
      </candidateList>
      <explain/>
      <paraID>49ED3190</paraID>
      <start>50</start>
      <end>52</end>
      <status>modified</status>
      <modifiedWord>，加</modifiedWord>
      <trackRevisions>false</trackRevisions>
    </reviewItem>
    <reviewItem>
      <errorID>2bac99ae-e2f5-4aa7-9e11-dc6b8d195125</errorID>
      <errorWord>，</errorWord>
      <group>L1_Word</group>
      <groupName>字词问题</groupName>
      <ability>L2_Typo</ability>
      <abilityName>字词错误</abilityName>
      <candidateList>
        <item>，加</item>
      </candidateList>
      <explain/>
      <paraID>26B8DA23</paraID>
      <start>27</start>
      <end>29</end>
      <status>modified</status>
      <modifiedWord>，加</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f5d10-ddec-4bd5-801b-9b985f9d3920}">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2069</Words>
  <Characters>2174</Characters>
  <Lines>0</Lines>
  <Paragraphs>0</Paragraphs>
  <TotalTime>30</TotalTime>
  <ScaleCrop>false</ScaleCrop>
  <LinksUpToDate>false</LinksUpToDate>
  <CharactersWithSpaces>2190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2025-12-12T08:25:00Z</dcterms:created>
  <dc:creator>圆滚滚</dc:creator>
  <cp:lastModifiedBy>幸儿</cp:lastModifiedBy>
  <dcterms:modified xsi:type="dcterms:W3CDTF">2025-12-19T08:44:46Z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CC214476372E41C9B673EC5C882E227D_11</vt:lpwstr>
  </property>
  <property fmtid="{D5CDD505-2E9C-101B-9397-08002B2CF9AE}" pid="4" name="KSOTemplateDocerSaveRecord">
    <vt:lpwstr>eyJoZGlkIjoiYjJmOWQ4MGNiZmIyMGQ2OWMyYTMyMzUzOWJiOGZhOTMiLCJ1c2VySWQiOiI1MDMyNzg4OTcifQ==</vt:lpwstr>
  </property>
</Properties>
</file>